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7" w:type="dxa"/>
        <w:tblCellMar>
          <w:left w:w="0" w:type="dxa"/>
          <w:right w:w="0" w:type="dxa"/>
        </w:tblCellMar>
        <w:tblLook w:val="04A0" w:firstRow="1" w:lastRow="0" w:firstColumn="1" w:lastColumn="0" w:noHBand="0" w:noVBand="1"/>
      </w:tblPr>
      <w:tblGrid>
        <w:gridCol w:w="5920"/>
        <w:gridCol w:w="3827"/>
      </w:tblGrid>
      <w:tr w:rsidR="0088411E" w:rsidRPr="00BF5F53" w:rsidTr="0088411E">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CCI number</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b/>
                <w:sz w:val="24"/>
                <w:szCs w:val="24"/>
                <w:lang w:eastAsia="lt-LT"/>
              </w:rPr>
            </w:pPr>
          </w:p>
        </w:tc>
      </w:tr>
      <w:tr w:rsidR="0088411E" w:rsidRPr="00BF5F53" w:rsidTr="0088411E">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Title in English</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9F1FCA" w:rsidRDefault="00BF5F53" w:rsidP="0088411E">
            <w:pPr>
              <w:spacing w:after="0" w:line="240" w:lineRule="auto"/>
              <w:jc w:val="both"/>
              <w:rPr>
                <w:rFonts w:ascii="Times New Roman" w:eastAsia="Times New Roman" w:hAnsi="Times New Roman" w:cs="Times New Roman"/>
                <w:sz w:val="24"/>
                <w:szCs w:val="24"/>
              </w:rPr>
            </w:pPr>
            <w:r w:rsidRPr="009F1FCA">
              <w:rPr>
                <w:rFonts w:ascii="Times New Roman" w:hAnsi="Times New Roman" w:cs="Times New Roman"/>
                <w:sz w:val="24"/>
                <w:szCs w:val="24"/>
              </w:rPr>
              <w:t>2021-2027 Asylum, migration and integration fund programme</w:t>
            </w:r>
          </w:p>
        </w:tc>
      </w:tr>
      <w:tr w:rsidR="0088411E" w:rsidRPr="00BF5F53" w:rsidTr="0088411E">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Title in the national language</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9F1FCA" w:rsidRDefault="00BF5F53" w:rsidP="0088411E">
            <w:pPr>
              <w:spacing w:after="0" w:line="240" w:lineRule="auto"/>
              <w:jc w:val="both"/>
              <w:rPr>
                <w:rFonts w:ascii="Times New Roman" w:eastAsia="Times New Roman" w:hAnsi="Times New Roman" w:cs="Times New Roman"/>
                <w:sz w:val="24"/>
                <w:szCs w:val="24"/>
                <w:lang w:val="lt-LT"/>
              </w:rPr>
            </w:pPr>
            <w:r w:rsidRPr="009F1FCA">
              <w:rPr>
                <w:rFonts w:ascii="Times New Roman" w:hAnsi="Times New Roman" w:cs="Times New Roman"/>
                <w:sz w:val="24"/>
                <w:szCs w:val="24"/>
              </w:rPr>
              <w:t>2021-2027</w:t>
            </w:r>
            <w:r w:rsidRPr="009F1FCA">
              <w:rPr>
                <w:rFonts w:ascii="Times New Roman" w:hAnsi="Times New Roman" w:cs="Times New Roman"/>
                <w:sz w:val="24"/>
                <w:szCs w:val="24"/>
              </w:rPr>
              <w:t xml:space="preserve"> </w:t>
            </w:r>
            <w:proofErr w:type="spellStart"/>
            <w:r w:rsidRPr="009F1FCA">
              <w:rPr>
                <w:rFonts w:ascii="Times New Roman" w:hAnsi="Times New Roman" w:cs="Times New Roman"/>
                <w:sz w:val="24"/>
                <w:szCs w:val="24"/>
              </w:rPr>
              <w:t>Prieglobs</w:t>
            </w:r>
            <w:proofErr w:type="spellEnd"/>
            <w:r w:rsidRPr="009F1FCA">
              <w:rPr>
                <w:rFonts w:ascii="Times New Roman" w:hAnsi="Times New Roman" w:cs="Times New Roman"/>
                <w:sz w:val="24"/>
                <w:szCs w:val="24"/>
                <w:lang w:val="lt-LT"/>
              </w:rPr>
              <w:t>čio, migracijos ir integracijos fondo programa</w:t>
            </w:r>
          </w:p>
        </w:tc>
      </w:tr>
      <w:tr w:rsidR="0088411E" w:rsidRPr="00BF5F53" w:rsidTr="0088411E">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Version</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b/>
                <w:sz w:val="24"/>
                <w:szCs w:val="24"/>
                <w:lang w:eastAsia="lt-LT"/>
              </w:rPr>
            </w:pPr>
          </w:p>
        </w:tc>
      </w:tr>
      <w:tr w:rsidR="0088411E" w:rsidRPr="00BF5F53" w:rsidTr="00BF5F53">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First Year</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8411E" w:rsidRPr="00BF5F53" w:rsidRDefault="0088411E" w:rsidP="0088411E">
            <w:pPr>
              <w:spacing w:after="0" w:line="240" w:lineRule="auto"/>
              <w:jc w:val="both"/>
              <w:rPr>
                <w:rFonts w:ascii="Times New Roman" w:eastAsia="Times New Roman" w:hAnsi="Times New Roman" w:cs="Times New Roman"/>
                <w:b/>
                <w:sz w:val="24"/>
                <w:szCs w:val="24"/>
              </w:rPr>
            </w:pPr>
          </w:p>
        </w:tc>
      </w:tr>
      <w:tr w:rsidR="0088411E" w:rsidRPr="00BF5F53" w:rsidTr="00BF5F53">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Last Year</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8411E" w:rsidRPr="00BF5F53" w:rsidRDefault="0088411E" w:rsidP="0088411E">
            <w:pPr>
              <w:spacing w:after="0" w:line="240" w:lineRule="auto"/>
              <w:jc w:val="both"/>
              <w:rPr>
                <w:rFonts w:ascii="Times New Roman" w:eastAsia="Times New Roman" w:hAnsi="Times New Roman" w:cs="Times New Roman"/>
                <w:b/>
                <w:sz w:val="24"/>
                <w:szCs w:val="24"/>
              </w:rPr>
            </w:pPr>
          </w:p>
        </w:tc>
      </w:tr>
      <w:tr w:rsidR="0088411E" w:rsidRPr="00BF5F53" w:rsidTr="00BF5F53">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Eligible from</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8411E" w:rsidRPr="00BF5F53" w:rsidRDefault="0088411E" w:rsidP="0088411E">
            <w:pPr>
              <w:spacing w:after="0" w:line="240" w:lineRule="auto"/>
              <w:rPr>
                <w:rFonts w:ascii="Times New Roman" w:eastAsia="Times New Roman" w:hAnsi="Times New Roman" w:cs="Times New Roman"/>
                <w:b/>
                <w:sz w:val="24"/>
                <w:szCs w:val="24"/>
                <w:lang w:eastAsia="lt-LT"/>
              </w:rPr>
            </w:pPr>
          </w:p>
        </w:tc>
      </w:tr>
      <w:tr w:rsidR="0088411E" w:rsidRPr="00BF5F53" w:rsidTr="00BF5F53">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Eligible until</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8411E" w:rsidRPr="00BF5F53" w:rsidRDefault="0088411E" w:rsidP="0088411E">
            <w:pPr>
              <w:spacing w:after="0" w:line="240" w:lineRule="auto"/>
              <w:rPr>
                <w:rFonts w:ascii="Times New Roman" w:eastAsia="Times New Roman" w:hAnsi="Times New Roman" w:cs="Times New Roman"/>
                <w:b/>
                <w:sz w:val="24"/>
                <w:szCs w:val="24"/>
                <w:lang w:val="en-US" w:eastAsia="lt-LT"/>
              </w:rPr>
            </w:pPr>
          </w:p>
        </w:tc>
      </w:tr>
      <w:tr w:rsidR="0088411E" w:rsidRPr="00BF5F53" w:rsidTr="00BF5F53">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Commission Decision Number</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8411E" w:rsidRPr="00BF5F53" w:rsidRDefault="0088411E" w:rsidP="0088411E">
            <w:pPr>
              <w:spacing w:after="0" w:line="240" w:lineRule="auto"/>
              <w:rPr>
                <w:rFonts w:ascii="Times New Roman" w:eastAsia="Times New Roman" w:hAnsi="Times New Roman" w:cs="Times New Roman"/>
                <w:b/>
                <w:sz w:val="24"/>
                <w:szCs w:val="24"/>
                <w:lang w:eastAsia="lt-LT"/>
              </w:rPr>
            </w:pPr>
          </w:p>
        </w:tc>
      </w:tr>
      <w:tr w:rsidR="0088411E" w:rsidRPr="00BF5F53" w:rsidTr="0088411E">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Commission Decision Date</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b/>
                <w:sz w:val="24"/>
                <w:szCs w:val="24"/>
                <w:lang w:eastAsia="lt-LT"/>
              </w:rPr>
            </w:pPr>
          </w:p>
        </w:tc>
      </w:tr>
      <w:tr w:rsidR="0088411E" w:rsidRPr="00BF5F53" w:rsidTr="0088411E">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Member State amending decision number</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b/>
                <w:sz w:val="24"/>
                <w:szCs w:val="24"/>
                <w:lang w:eastAsia="lt-LT"/>
              </w:rPr>
            </w:pPr>
          </w:p>
        </w:tc>
      </w:tr>
      <w:tr w:rsidR="0088411E" w:rsidRPr="00BF5F53" w:rsidTr="0088411E">
        <w:tc>
          <w:tcPr>
            <w:tcW w:w="59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Member State amending decision entry into force date</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b/>
                <w:sz w:val="24"/>
                <w:szCs w:val="24"/>
                <w:lang w:eastAsia="lt-LT"/>
              </w:rPr>
            </w:pPr>
          </w:p>
        </w:tc>
      </w:tr>
    </w:tbl>
    <w:p w:rsidR="0088411E" w:rsidRPr="00BF5F53" w:rsidRDefault="0088411E" w:rsidP="0088411E">
      <w:pPr>
        <w:spacing w:after="0" w:line="240" w:lineRule="auto"/>
        <w:ind w:left="468"/>
        <w:jc w:val="both"/>
        <w:rPr>
          <w:rFonts w:ascii="Times New Roman" w:eastAsia="Times New Roman" w:hAnsi="Times New Roman" w:cs="Times New Roman"/>
          <w:b/>
          <w:sz w:val="24"/>
          <w:szCs w:val="24"/>
          <w:lang w:eastAsia="lt-LT"/>
        </w:rPr>
      </w:pPr>
    </w:p>
    <w:p w:rsidR="0088411E" w:rsidRPr="00BF5F53" w:rsidRDefault="0088411E" w:rsidP="009F1FCA">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1.</w:t>
      </w:r>
      <w:r w:rsidR="009F1FCA">
        <w:rPr>
          <w:rFonts w:ascii="Times New Roman" w:hAnsi="Times New Roman" w:cs="Times New Roman"/>
          <w:b/>
          <w:sz w:val="24"/>
          <w:szCs w:val="24"/>
        </w:rPr>
        <w:t xml:space="preserve"> </w:t>
      </w:r>
      <w:r w:rsidRPr="00BF5F53">
        <w:rPr>
          <w:rFonts w:ascii="Times New Roman" w:hAnsi="Times New Roman" w:cs="Times New Roman"/>
          <w:b/>
          <w:sz w:val="24"/>
          <w:szCs w:val="24"/>
        </w:rPr>
        <w:t>Programme strategy: main challenges and policy responses</w:t>
      </w:r>
    </w:p>
    <w:p w:rsidR="0088411E" w:rsidRPr="009F1FCA" w:rsidRDefault="0088411E" w:rsidP="0088411E">
      <w:pPr>
        <w:spacing w:after="0" w:line="240" w:lineRule="auto"/>
        <w:jc w:val="both"/>
        <w:rPr>
          <w:rFonts w:ascii="Times New Roman" w:eastAsia="Times New Roman" w:hAnsi="Times New Roman" w:cs="Times New Roman"/>
          <w:i/>
          <w:sz w:val="24"/>
          <w:szCs w:val="24"/>
        </w:rPr>
      </w:pPr>
      <w:r w:rsidRPr="009F1FCA">
        <w:rPr>
          <w:rFonts w:ascii="Times New Roman" w:hAnsi="Times New Roman" w:cs="Times New Roman"/>
          <w:i/>
          <w:sz w:val="24"/>
          <w:szCs w:val="24"/>
        </w:rPr>
        <w:t>Reference: Article 17(3</w:t>
      </w:r>
      <w:proofErr w:type="gramStart"/>
      <w:r w:rsidRPr="009F1FCA">
        <w:rPr>
          <w:rFonts w:ascii="Times New Roman" w:hAnsi="Times New Roman" w:cs="Times New Roman"/>
          <w:i/>
          <w:sz w:val="24"/>
          <w:szCs w:val="24"/>
        </w:rPr>
        <w:t>)(</w:t>
      </w:r>
      <w:proofErr w:type="gramEnd"/>
      <w:r w:rsidRPr="009F1FCA">
        <w:rPr>
          <w:rFonts w:ascii="Times New Roman" w:hAnsi="Times New Roman" w:cs="Times New Roman"/>
          <w:i/>
          <w:sz w:val="24"/>
          <w:szCs w:val="24"/>
        </w:rPr>
        <w:t>a)(i)-(v) and (vii) and 17(3)(b)</w:t>
      </w:r>
    </w:p>
    <w:p w:rsidR="0088411E" w:rsidRPr="00BF5F53" w:rsidRDefault="0088411E" w:rsidP="0088411E">
      <w:pPr>
        <w:spacing w:after="0" w:line="240" w:lineRule="auto"/>
        <w:rPr>
          <w:rFonts w:ascii="Times New Roman" w:eastAsia="Times New Roman" w:hAnsi="Times New Roman" w:cs="Times New Roman"/>
          <w:vanish/>
          <w:sz w:val="24"/>
          <w:szCs w:val="24"/>
          <w:lang w:eastAsia="lt-LT"/>
        </w:rPr>
      </w:pPr>
    </w:p>
    <w:tbl>
      <w:tblPr>
        <w:tblW w:w="9747" w:type="dxa"/>
        <w:tblCellMar>
          <w:left w:w="0" w:type="dxa"/>
          <w:right w:w="0" w:type="dxa"/>
        </w:tblCellMar>
        <w:tblLook w:val="04A0" w:firstRow="1" w:lastRow="0" w:firstColumn="1" w:lastColumn="0" w:noHBand="0" w:noVBand="1"/>
      </w:tblPr>
      <w:tblGrid>
        <w:gridCol w:w="9747"/>
      </w:tblGrid>
      <w:tr w:rsidR="0088411E" w:rsidRPr="00BF5F53" w:rsidTr="0088411E">
        <w:tc>
          <w:tcPr>
            <w:tcW w:w="9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B54CF1" w:rsidRPr="00BF5F53" w:rsidRDefault="003B34F3" w:rsidP="00B54CF1">
            <w:pPr>
              <w:spacing w:after="0" w:line="240" w:lineRule="auto"/>
              <w:ind w:firstLine="851"/>
              <w:jc w:val="both"/>
              <w:rPr>
                <w:rFonts w:ascii="Times New Roman" w:hAnsi="Times New Roman" w:cs="Times New Roman"/>
                <w:sz w:val="24"/>
                <w:szCs w:val="24"/>
              </w:rPr>
            </w:pPr>
            <w:r w:rsidRPr="00BF5F53">
              <w:rPr>
                <w:rFonts w:ascii="Times New Roman" w:hAnsi="Times New Roman" w:cs="Times New Roman"/>
                <w:sz w:val="24"/>
                <w:szCs w:val="24"/>
              </w:rPr>
              <w:t xml:space="preserve">The system of granting asylum in Lithuania complies with the EU acquis. Lithuania has been taking part in the activities of the European Asylum Support Office since 2011, actively investing to contribute to the development of the joint European asylum system. The goal is to simplify and rationalise the procedural standards of the international protection (refugee status and additional protection), to ensure a reasonable and quality decision-making, prevent the abuse of international protection procedures, ensure reception conditions that respect the human dignity, make the procedures of granting asylum more efficient and shorter, and to ensure that they are fair and efficient (considering the needs for legal support and other necessary guarantees, particularly for vulnerable groups). The Programming Period 2014-2020 involved the renewal and development of the accommodation infrastructure for asylum seekers (considering the vulnerable groups), testing alternative methods of accommodation at different municipalities, and investments into service and competence development, although these areas still require further investments. </w:t>
            </w:r>
          </w:p>
          <w:p w:rsidR="003B34F3" w:rsidRPr="00BF5F53" w:rsidRDefault="003B34F3" w:rsidP="00B54CF1">
            <w:pPr>
              <w:spacing w:after="0" w:line="240" w:lineRule="auto"/>
              <w:ind w:firstLine="851"/>
              <w:jc w:val="both"/>
              <w:rPr>
                <w:rFonts w:ascii="Times New Roman" w:eastAsia="Times New Roman" w:hAnsi="Times New Roman" w:cs="Times New Roman"/>
                <w:sz w:val="24"/>
                <w:szCs w:val="24"/>
              </w:rPr>
            </w:pPr>
            <w:r w:rsidRPr="00BF5F53">
              <w:rPr>
                <w:rFonts w:ascii="Times New Roman" w:hAnsi="Times New Roman" w:cs="Times New Roman"/>
                <w:sz w:val="24"/>
                <w:szCs w:val="24"/>
              </w:rPr>
              <w:t>According to the Migration Department, the number of applications for an asylum in 2017-2019 was higher than 1,500 (36 per cent more than in 2014-2016). In 2019, the number of requests for an asylum in Lithuania continued to grow, particularly from citizens of the Republic of Tajikistan and Russian Federation, coming from the Republic of Belarus (their applications in 2019 constitute nearly 70 per cent of all applications). Unfounded requests for asylum in Lithuania increased as well. Increasing numbers of foreigner applications for an asylum at border crossing points creates a need for greater accommodation, reception and asylum case examination capacity of the Lithuanian asylum system, as well as to consolidate and expand translation services.</w:t>
            </w:r>
          </w:p>
          <w:p w:rsidR="003B34F3" w:rsidRPr="00BF5F53" w:rsidRDefault="003B34F3" w:rsidP="00B54CF1">
            <w:pPr>
              <w:spacing w:after="0" w:line="240" w:lineRule="auto"/>
              <w:ind w:firstLine="851"/>
              <w:jc w:val="both"/>
              <w:rPr>
                <w:rFonts w:ascii="Times New Roman" w:eastAsia="Times New Roman" w:hAnsi="Times New Roman" w:cs="Times New Roman"/>
                <w:sz w:val="24"/>
                <w:szCs w:val="24"/>
              </w:rPr>
            </w:pPr>
            <w:r w:rsidRPr="00BF5F53">
              <w:rPr>
                <w:rFonts w:ascii="Times New Roman" w:hAnsi="Times New Roman" w:cs="Times New Roman"/>
                <w:sz w:val="24"/>
                <w:szCs w:val="24"/>
              </w:rPr>
              <w:t>In terms of the integration of the citizens from third countries, a lot of attention during the Programming Period 2014-2020 was focused on the improvement of strategic planning and investments. In 2018, the Government of the Republic of Lithuania approved the Strategy for Demography, Migration and Integration 2018-2030, which also established the major goals and tasks in the field of integration. The Action plan 2018–2020 on</w:t>
            </w:r>
            <w:r w:rsidR="00120DC5" w:rsidRPr="00BF5F53">
              <w:rPr>
                <w:rFonts w:ascii="Times New Roman" w:hAnsi="Times New Roman" w:cs="Times New Roman"/>
                <w:sz w:val="24"/>
                <w:szCs w:val="24"/>
              </w:rPr>
              <w:t xml:space="preserve"> the Integration of Foreigners i</w:t>
            </w:r>
            <w:r w:rsidRPr="00BF5F53">
              <w:rPr>
                <w:rFonts w:ascii="Times New Roman" w:hAnsi="Times New Roman" w:cs="Times New Roman"/>
                <w:sz w:val="24"/>
                <w:szCs w:val="24"/>
              </w:rPr>
              <w:t xml:space="preserve">nto </w:t>
            </w:r>
            <w:r w:rsidR="00120DC5" w:rsidRPr="00BF5F53">
              <w:rPr>
                <w:rFonts w:ascii="Times New Roman" w:hAnsi="Times New Roman" w:cs="Times New Roman"/>
                <w:sz w:val="24"/>
                <w:szCs w:val="24"/>
              </w:rPr>
              <w:t xml:space="preserve">the </w:t>
            </w:r>
            <w:r w:rsidRPr="00BF5F53">
              <w:rPr>
                <w:rFonts w:ascii="Times New Roman" w:hAnsi="Times New Roman" w:cs="Times New Roman"/>
                <w:sz w:val="24"/>
                <w:szCs w:val="24"/>
              </w:rPr>
              <w:t xml:space="preserve">Society was approved separately, listing the major challenges of integration and the necessary actions for its implementation. In 2014-2020, the AMIF investments were focused on improving language skills and other competencies of the third country citizens, building relations with local communities, competences of the staff, working in the field of integration, publication and communication campaigns, and developing a unified platform for migration and integration information. Following the redistribution of funds in 2019, additional investments were allocated to developing a unified Lithuanian language teaching methodology and strengthening the </w:t>
            </w:r>
            <w:r w:rsidRPr="00BF5F53">
              <w:rPr>
                <w:rFonts w:ascii="Times New Roman" w:hAnsi="Times New Roman" w:cs="Times New Roman"/>
                <w:sz w:val="24"/>
                <w:szCs w:val="24"/>
              </w:rPr>
              <w:lastRenderedPageBreak/>
              <w:t xml:space="preserve">integration processes at individual municipalities. </w:t>
            </w:r>
          </w:p>
          <w:p w:rsidR="003B34F3" w:rsidRPr="00BF5F53" w:rsidRDefault="003B34F3" w:rsidP="00B54CF1">
            <w:pPr>
              <w:spacing w:after="0" w:line="240" w:lineRule="auto"/>
              <w:ind w:firstLine="851"/>
              <w:jc w:val="both"/>
              <w:rPr>
                <w:rFonts w:ascii="Times New Roman" w:eastAsia="Times New Roman" w:hAnsi="Times New Roman" w:cs="Times New Roman"/>
                <w:sz w:val="24"/>
                <w:szCs w:val="24"/>
              </w:rPr>
            </w:pPr>
            <w:r w:rsidRPr="00BF5F53">
              <w:rPr>
                <w:rFonts w:ascii="Times New Roman" w:hAnsi="Times New Roman" w:cs="Times New Roman"/>
                <w:sz w:val="24"/>
                <w:szCs w:val="24"/>
              </w:rPr>
              <w:t xml:space="preserve">According to Statistics Lithuania, foreigner integration in 2009-2019 was small – on average 2,600 immigrants per year. Several recent years have shown growing tendencies: According to Statistics Lithuania, the number of foreign immigrants increased from 5,955 (2016) to 19,655 (preliminary data of 2019). In early 2020, the number of foreigners living in Lithuania was 70,081 (2.79 of the total population (increased by 1.1 per cent since 2013)). Growing numbers of foreigners in Lithuania raises new challenges for the efficient integration system. </w:t>
            </w:r>
          </w:p>
          <w:p w:rsidR="003B34F3" w:rsidRPr="00BF5F53" w:rsidRDefault="003B34F3" w:rsidP="00B54CF1">
            <w:pPr>
              <w:spacing w:after="0" w:line="240" w:lineRule="auto"/>
              <w:ind w:firstLine="851"/>
              <w:jc w:val="both"/>
              <w:rPr>
                <w:rFonts w:ascii="Times New Roman" w:eastAsia="Times New Roman" w:hAnsi="Times New Roman" w:cs="Times New Roman"/>
                <w:sz w:val="24"/>
                <w:szCs w:val="24"/>
              </w:rPr>
            </w:pPr>
            <w:r w:rsidRPr="00BF5F53">
              <w:rPr>
                <w:rFonts w:ascii="Times New Roman" w:hAnsi="Times New Roman" w:cs="Times New Roman"/>
                <w:sz w:val="24"/>
                <w:szCs w:val="24"/>
              </w:rPr>
              <w:t>They require additional investments into improving municipal competencies and their leadership in integration processes, also showing a lack of integrated institutional approach and involvement into the foreigner integration process. The most of integration services in Lithuania are currently clustered in the major cities (Vilnius, Kaunas, Klaipėda) and several municipalities, which are themselves more active in shaping integration policies – Jonava city, Naujoji Akmenė. In 2014-2020, the said municipalities (including one more – Šiauliai city municipality) received investments into their leadership and integrated integration policy development competencies, as well as creating a network of local actors and strategic planning development. The work on the competencies of these municipalities will continue in 2021-2027, including new municipalities in order to ensure a wider integration of foreigners in the entire state.</w:t>
            </w:r>
          </w:p>
          <w:p w:rsidR="003B34F3" w:rsidRPr="00BF5F53" w:rsidRDefault="003B34F3" w:rsidP="00B54CF1">
            <w:pPr>
              <w:spacing w:after="0" w:line="240" w:lineRule="auto"/>
              <w:ind w:firstLine="851"/>
              <w:jc w:val="both"/>
              <w:rPr>
                <w:rFonts w:ascii="Times New Roman" w:eastAsia="Times New Roman" w:hAnsi="Times New Roman" w:cs="Times New Roman"/>
                <w:sz w:val="24"/>
                <w:szCs w:val="24"/>
              </w:rPr>
            </w:pPr>
            <w:r w:rsidRPr="00BF5F53">
              <w:rPr>
                <w:rFonts w:ascii="Times New Roman" w:hAnsi="Times New Roman" w:cs="Times New Roman"/>
                <w:sz w:val="24"/>
                <w:szCs w:val="24"/>
              </w:rPr>
              <w:t>2019 marked the amendment of the Law on the Recognition of Regulated Professional Qualifications of the Republic of Lithuania and establishment of the provisions regarding the recognition of professional qualifications of citizens from third countries, acquired in third countries (terms of recognition, basis for non-recognition of professional qualifications, basis for the application of compensatory measures). During the same year, the Law on the Legal Status of Aliens of the Republic of Lithuania, allowing asylum seekers to start employment after 6 months since the date of their application for an asylum. Despite these changes, employment rates in both asylum seekers and asylum receivers remain too low. The work skills and qualifications of foreigners, granted asylum in the Republic of Lithuania, often do not meet the local labour market needs, resulting them in taking less-skilled employment than in their home countries. Another share of the asylum seekers arrive</w:t>
            </w:r>
            <w:r w:rsidR="00120DC5" w:rsidRPr="00BF5F53">
              <w:rPr>
                <w:rFonts w:ascii="Times New Roman" w:hAnsi="Times New Roman" w:cs="Times New Roman"/>
                <w:sz w:val="24"/>
                <w:szCs w:val="24"/>
              </w:rPr>
              <w:t>s</w:t>
            </w:r>
            <w:r w:rsidRPr="00BF5F53">
              <w:rPr>
                <w:rFonts w:ascii="Times New Roman" w:hAnsi="Times New Roman" w:cs="Times New Roman"/>
                <w:sz w:val="24"/>
                <w:szCs w:val="24"/>
              </w:rPr>
              <w:t xml:space="preserve"> having only lower-secondary, secondary or unfinished lower-secondary/secondary education, continue to study at adult training centres, evening schools and later get unqualified employment or use vocational education opportunities. Research data has shown that asylum seekers rarely address employers themselves, while the Employment Service does not have enough competence for working with this specific target group. </w:t>
            </w:r>
          </w:p>
          <w:p w:rsidR="003B34F3" w:rsidRPr="00BF5F53" w:rsidRDefault="003B34F3" w:rsidP="00B54CF1">
            <w:pPr>
              <w:spacing w:after="0" w:line="240" w:lineRule="auto"/>
              <w:ind w:firstLine="851"/>
              <w:jc w:val="both"/>
              <w:rPr>
                <w:rFonts w:ascii="Times New Roman" w:eastAsia="Times New Roman" w:hAnsi="Times New Roman" w:cs="Times New Roman"/>
                <w:sz w:val="24"/>
                <w:szCs w:val="24"/>
              </w:rPr>
            </w:pPr>
            <w:r w:rsidRPr="00BF5F53">
              <w:rPr>
                <w:rFonts w:ascii="Times New Roman" w:hAnsi="Times New Roman" w:cs="Times New Roman"/>
                <w:sz w:val="24"/>
                <w:szCs w:val="24"/>
              </w:rPr>
              <w:t xml:space="preserve">Research, conducted in EU member states, shows that women that are citizens of third countries, usually cannot take an active part in the labour market due to having to take care of their children or family traditions, which forbid women’s employment if their husband is unemployed, or stereotypes regarding gender and ethnicity. That is why unemployment rates are particularly high in women that have just arrived or have been living in the country for up to 10 years. These challenges translate into plans of strengthening employment competencies in Lithuania, making additional investments into lifelong learning system, qualification recognition and improvement services, language courses, also promoting entrepreneurship in third country citizens. </w:t>
            </w:r>
          </w:p>
          <w:p w:rsidR="003B34F3" w:rsidRPr="00BF5F53" w:rsidRDefault="003B34F3" w:rsidP="00B54CF1">
            <w:pPr>
              <w:spacing w:after="0" w:line="240" w:lineRule="auto"/>
              <w:ind w:firstLine="851"/>
              <w:jc w:val="both"/>
              <w:rPr>
                <w:rFonts w:ascii="Times New Roman" w:eastAsia="Times New Roman" w:hAnsi="Times New Roman" w:cs="Times New Roman"/>
                <w:sz w:val="24"/>
                <w:szCs w:val="24"/>
              </w:rPr>
            </w:pPr>
            <w:r w:rsidRPr="00BF5F53">
              <w:rPr>
                <w:rFonts w:ascii="Times New Roman" w:hAnsi="Times New Roman" w:cs="Times New Roman"/>
                <w:sz w:val="24"/>
                <w:szCs w:val="24"/>
              </w:rPr>
              <w:t xml:space="preserve">Special attention will be focused on improving the situation of the migrants, coming to look for employment. Labour immigration has grown significantly and continues to grow in Lithuania since 2016 (in 2019, foreign employees constituted 76 per cent of the total number of the immigrants). In 2019, adjustments in the legislation enabled third country citizens to get employment during their legal short-term stay in the Republic of Lithuania, while asylum seekers can do so after 6 months since the date of their application for an asylum. Increasing numbers of employed third country citizens also increase the risks of foreigner abuse and human trafficking. The need for integration of ethnic minorities increases as well. Currently employers, intending to employ foreigners, must inform the responsible institution, but there is a need for additional investments to ensure data quality and synergy. There is also not enough information to shape an </w:t>
            </w:r>
            <w:r w:rsidRPr="00BF5F53">
              <w:rPr>
                <w:rFonts w:ascii="Times New Roman" w:hAnsi="Times New Roman" w:cs="Times New Roman"/>
                <w:sz w:val="24"/>
                <w:szCs w:val="24"/>
              </w:rPr>
              <w:lastRenderedPageBreak/>
              <w:t xml:space="preserve">informed policy. The Programming Period 2014-2020 included a study, which identified the major gaps in the system, forming appropriate investment directions. </w:t>
            </w:r>
          </w:p>
          <w:p w:rsidR="003B34F3" w:rsidRPr="00BF5F53" w:rsidRDefault="003B34F3" w:rsidP="00B54CF1">
            <w:pPr>
              <w:spacing w:after="0" w:line="240" w:lineRule="auto"/>
              <w:ind w:firstLine="851"/>
              <w:jc w:val="both"/>
              <w:rPr>
                <w:rFonts w:ascii="Times New Roman" w:eastAsia="Times New Roman" w:hAnsi="Times New Roman" w:cs="Times New Roman"/>
                <w:sz w:val="24"/>
                <w:szCs w:val="24"/>
              </w:rPr>
            </w:pPr>
            <w:r w:rsidRPr="00BF5F53">
              <w:rPr>
                <w:rFonts w:ascii="Times New Roman" w:hAnsi="Times New Roman" w:cs="Times New Roman"/>
                <w:sz w:val="24"/>
                <w:szCs w:val="24"/>
              </w:rPr>
              <w:t xml:space="preserve">Foreigners and other citizens of third countries, granted asylum during the Programming Period 2014-2020, received an integrated service package to ensure their smooth integration (social, psychological, translation, assistance services, civic orientation training, language courses, etc.). These services will continue to be funded, but, since the numbers of foreigners are increasing, it is necessary to have these services standardised, improving their quality and increasing the scope. It is particularly important to continue improving psychological and health care services, thus improving the competencies of the third country citizen employment system. This will involve focusing additional attention on coordinating investments with those of the European Social Fund. </w:t>
            </w:r>
          </w:p>
          <w:p w:rsidR="003B34F3" w:rsidRPr="00BF5F53" w:rsidRDefault="003B34F3" w:rsidP="00B54CF1">
            <w:pPr>
              <w:spacing w:after="0" w:line="240" w:lineRule="auto"/>
              <w:ind w:firstLine="851"/>
              <w:jc w:val="both"/>
              <w:rPr>
                <w:rFonts w:ascii="Times New Roman" w:eastAsia="Times New Roman" w:hAnsi="Times New Roman" w:cs="Times New Roman"/>
                <w:sz w:val="24"/>
                <w:szCs w:val="24"/>
              </w:rPr>
            </w:pPr>
            <w:r w:rsidRPr="00BF5F53">
              <w:rPr>
                <w:rFonts w:ascii="Times New Roman" w:hAnsi="Times New Roman" w:cs="Times New Roman"/>
                <w:sz w:val="24"/>
                <w:szCs w:val="24"/>
              </w:rPr>
              <w:t xml:space="preserve">Lithuanian language is currently one of the major barriers for smooth integration. In order to improve the level of the training programme and the expert competencies, the Programming Period 2014-2020 included a national project, commencing the training of the representatives of the target group. Seeking to ensure the relevance of the methodology and to maintain appropriate levels of the expert competence, it is necessary to continue investing into the improvement of Lithuanian language teaching. </w:t>
            </w:r>
          </w:p>
          <w:p w:rsidR="003B34F3" w:rsidRPr="00BF5F53" w:rsidRDefault="003B34F3" w:rsidP="00B54CF1">
            <w:pPr>
              <w:spacing w:after="0" w:line="240" w:lineRule="auto"/>
              <w:ind w:firstLine="851"/>
              <w:jc w:val="both"/>
              <w:rPr>
                <w:rFonts w:ascii="Times New Roman" w:eastAsia="Times New Roman" w:hAnsi="Times New Roman" w:cs="Times New Roman"/>
                <w:sz w:val="24"/>
                <w:szCs w:val="24"/>
              </w:rPr>
            </w:pPr>
            <w:r w:rsidRPr="00BF5F53">
              <w:rPr>
                <w:rFonts w:ascii="Times New Roman" w:hAnsi="Times New Roman" w:cs="Times New Roman"/>
                <w:sz w:val="24"/>
                <w:szCs w:val="24"/>
              </w:rPr>
              <w:t xml:space="preserve">Children’s and youth integration is directly dependent on how ready is the educational system to accept the children of third country citizens. Seeking to ensure better integration for foreigner children into the educational system, in 2014-2020, a network of Lithuanian schools, working with incoming children was established. Its main purpose is to assist schools in different Lithuanian regions, which work with children of those, who come to work to Lithuania, making sure that they can fully integrate a child with direct migration experience into the educational system. The first stage of the school network establishment included 10 Lithuanian municipalities (22 schools). The network makes it easier for the incoming families to identify schools, which are ready to welcome their children and strengthens the schools’ abilities not only to ensure appropriate education, but also social and emotional support; it also encourages schools to share their good experience, methodological materials and working methods. Nevertheless, further investments are needed to create a system, which could conduct a professional assessment of the quality of the knowledge, acquired by the child abroad and solve any issues of the integration into the local educational system, caused by language and cultural barriers. It is also necessary to strengthen the intercultural competencies of the staff, working at educational institutions, and ensure interinstitutional cooperation between educational institutions and non-governmental organisations, working in the field of foreigner integration. </w:t>
            </w:r>
          </w:p>
          <w:p w:rsidR="003B34F3" w:rsidRPr="00BF5F53" w:rsidRDefault="003B34F3" w:rsidP="00B54CF1">
            <w:pPr>
              <w:spacing w:after="0" w:line="240" w:lineRule="auto"/>
              <w:ind w:firstLine="851"/>
              <w:jc w:val="both"/>
              <w:rPr>
                <w:rFonts w:ascii="Times New Roman" w:eastAsia="Times New Roman" w:hAnsi="Times New Roman" w:cs="Times New Roman"/>
                <w:sz w:val="24"/>
                <w:szCs w:val="24"/>
              </w:rPr>
            </w:pPr>
            <w:r w:rsidRPr="00BF5F53">
              <w:rPr>
                <w:rFonts w:ascii="Times New Roman" w:hAnsi="Times New Roman" w:cs="Times New Roman"/>
                <w:sz w:val="24"/>
                <w:szCs w:val="24"/>
              </w:rPr>
              <w:t xml:space="preserve">The image of immigration and, at the same time, asylum seekers, in Lithuania is rather negative, shaped by historically rooted cultural seclusion and the media. In 2019, the Institute for Ethnic Studies reported that Lithuanians tend to shape their opinions on immigrants based on various sources of the media, rather than personal experience. The last Programming Period included investments into communication campaigns, and these investments will have to continue. Qualitative surveys have shown that tighter connections with the local community would help the asylum seekers learn the language, while their employment and communication at work would increase the practical use and knowledge of the language. However, isolation, limited financial possibilities, intolerance and (or) xenophobia, sometimes even traumatic experiences, significantly impede the asylum seekers’ possibilities of developing language skills in their social environment. Considering these issues, additional investments into local communities are planned, the purpose of which is to strengthen their role in the integration processes and promoting intercultural cooperation. </w:t>
            </w:r>
          </w:p>
          <w:p w:rsidR="0088411E" w:rsidRPr="00BF5F53" w:rsidRDefault="003B34F3" w:rsidP="00B54CF1">
            <w:pPr>
              <w:spacing w:after="0" w:line="240" w:lineRule="auto"/>
              <w:ind w:firstLine="851"/>
              <w:jc w:val="both"/>
              <w:rPr>
                <w:rFonts w:ascii="Times New Roman" w:eastAsia="Times New Roman" w:hAnsi="Times New Roman" w:cs="Times New Roman"/>
                <w:sz w:val="24"/>
                <w:szCs w:val="24"/>
              </w:rPr>
            </w:pPr>
            <w:r w:rsidRPr="00BF5F53">
              <w:rPr>
                <w:rFonts w:ascii="Times New Roman" w:hAnsi="Times New Roman" w:cs="Times New Roman"/>
                <w:sz w:val="24"/>
                <w:szCs w:val="24"/>
              </w:rPr>
              <w:t xml:space="preserve">Illegal migration prevention and control remains one of the key elements of migration management. Lithuania, guarding the EU external border, remains, for the most part, a transit state on the route of illegal migration, being an attractive country for foreigners, seeking to establish </w:t>
            </w:r>
            <w:r w:rsidRPr="00BF5F53">
              <w:rPr>
                <w:rFonts w:ascii="Times New Roman" w:hAnsi="Times New Roman" w:cs="Times New Roman"/>
                <w:sz w:val="24"/>
                <w:szCs w:val="24"/>
              </w:rPr>
              <w:lastRenderedPageBreak/>
              <w:t xml:space="preserve">their stay in the EU at any cost. As the flow of foreigners, coming to live in Lithuania, increase, the activity and measures to identify the cases of abusing the stay in Lithuania and illegal labour control are strengthened as well, building barriers to prevent these processes. In 2019, Lithuania deported 73 citizens of third countries; 2,274 citizens were returned to foreign states or their countries of origin; 24 foreigners were ordered to leave Lithuania. With the application of the priority of voluntary departure, the numbers of foreigners, forced out of the country are decreasing. The majority of people, removed from Lithuania, come from the Socialist Republic of Vietnam, the Russian Federation and Georgia. During the Programming Period 2014-2020, the operations of deportation were implemented by the International Organisation for Migration and the State Border Guard Service – their cooperation made it possible to coordinate the activities of forced deportation and voluntary departure. Investments were made into improvement of competencies of the experts, working in the field of deportation, ensuring deportation monitoring and improving the procedures, based on observers’ recommendations. Seeking to improve the accommodation and deportation conditions for the persons to be removed, investments were made into accommodation infrastructure at the Foreigners' Registration Centre and services for detained persons. Further improvements of the deportation system </w:t>
            </w:r>
            <w:r w:rsidR="00120DC5" w:rsidRPr="00BF5F53">
              <w:rPr>
                <w:rFonts w:ascii="Times New Roman" w:hAnsi="Times New Roman" w:cs="Times New Roman"/>
                <w:sz w:val="24"/>
                <w:szCs w:val="24"/>
              </w:rPr>
              <w:t>require</w:t>
            </w:r>
            <w:r w:rsidRPr="00BF5F53">
              <w:rPr>
                <w:rFonts w:ascii="Times New Roman" w:hAnsi="Times New Roman" w:cs="Times New Roman"/>
                <w:sz w:val="24"/>
                <w:szCs w:val="24"/>
              </w:rPr>
              <w:t xml:space="preserve"> further investments into the improvement of voluntary departure system, expert competencies and distribution of information. The issue of illegal labour migration requires additional attention as well. More investments are needed for the improvement of accommodation of the families and vulnerable groups to be removed, developing alternative models of accommodation.</w:t>
            </w:r>
          </w:p>
        </w:tc>
      </w:tr>
    </w:tbl>
    <w:p w:rsidR="0088411E" w:rsidRPr="00BF5F53" w:rsidRDefault="0088411E" w:rsidP="0088411E">
      <w:pPr>
        <w:spacing w:after="0" w:line="240" w:lineRule="auto"/>
        <w:ind w:left="468"/>
        <w:jc w:val="both"/>
        <w:rPr>
          <w:rFonts w:ascii="Times New Roman" w:eastAsia="Times New Roman" w:hAnsi="Times New Roman" w:cs="Times New Roman"/>
          <w:sz w:val="24"/>
          <w:szCs w:val="24"/>
          <w:lang w:eastAsia="lt-LT"/>
        </w:rPr>
      </w:pPr>
    </w:p>
    <w:p w:rsidR="0088411E" w:rsidRPr="00BF5F53" w:rsidRDefault="0088411E" w:rsidP="009F1FCA">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2.</w:t>
      </w:r>
      <w:r w:rsidR="009F1FCA">
        <w:rPr>
          <w:rFonts w:ascii="Times New Roman" w:hAnsi="Times New Roman" w:cs="Times New Roman"/>
          <w:b/>
          <w:sz w:val="24"/>
          <w:szCs w:val="24"/>
        </w:rPr>
        <w:t xml:space="preserve"> </w:t>
      </w:r>
      <w:r w:rsidRPr="00BF5F53">
        <w:rPr>
          <w:rFonts w:ascii="Times New Roman" w:hAnsi="Times New Roman" w:cs="Times New Roman"/>
          <w:b/>
          <w:sz w:val="24"/>
          <w:szCs w:val="24"/>
        </w:rPr>
        <w:t xml:space="preserve">Specific objectives (repeated for each specific objective other than technical </w:t>
      </w:r>
      <w:r w:rsidR="00120DC5" w:rsidRPr="00BF5F53">
        <w:rPr>
          <w:rFonts w:ascii="Times New Roman" w:hAnsi="Times New Roman" w:cs="Times New Roman"/>
          <w:b/>
          <w:sz w:val="24"/>
          <w:szCs w:val="24"/>
        </w:rPr>
        <w:t>assistance)</w:t>
      </w:r>
    </w:p>
    <w:p w:rsidR="0088411E" w:rsidRPr="009F1FCA" w:rsidRDefault="0088411E" w:rsidP="0088411E">
      <w:pPr>
        <w:spacing w:after="0" w:line="240" w:lineRule="auto"/>
        <w:jc w:val="both"/>
        <w:rPr>
          <w:rFonts w:ascii="Times New Roman" w:eastAsia="Times New Roman" w:hAnsi="Times New Roman" w:cs="Times New Roman"/>
          <w:i/>
          <w:sz w:val="24"/>
          <w:szCs w:val="24"/>
        </w:rPr>
      </w:pPr>
      <w:r w:rsidRPr="009F1FCA">
        <w:rPr>
          <w:rFonts w:ascii="Times New Roman" w:hAnsi="Times New Roman" w:cs="Times New Roman"/>
          <w:i/>
          <w:sz w:val="24"/>
          <w:szCs w:val="24"/>
        </w:rPr>
        <w:t>Reference: Article 17(2) and 17(4)</w:t>
      </w:r>
    </w:p>
    <w:p w:rsidR="00AC3BEB" w:rsidRPr="00BF5F53" w:rsidRDefault="00AC3BEB" w:rsidP="003B34F3">
      <w:pPr>
        <w:spacing w:after="0" w:line="240" w:lineRule="auto"/>
        <w:ind w:firstLine="426"/>
        <w:jc w:val="both"/>
        <w:rPr>
          <w:rFonts w:ascii="Times New Roman" w:eastAsia="Times New Roman" w:hAnsi="Times New Roman" w:cs="Times New Roman"/>
          <w:b/>
          <w:sz w:val="24"/>
          <w:szCs w:val="24"/>
          <w:lang w:eastAsia="lt-LT"/>
        </w:rPr>
      </w:pPr>
    </w:p>
    <w:p w:rsidR="00D40709" w:rsidRPr="00BF5F53" w:rsidRDefault="00D40709" w:rsidP="009F1FCA">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 xml:space="preserve">2.1. </w:t>
      </w:r>
      <w:r w:rsidR="00B54CF1" w:rsidRPr="00BF5F53">
        <w:rPr>
          <w:rFonts w:ascii="Times New Roman" w:hAnsi="Times New Roman" w:cs="Times New Roman"/>
          <w:b/>
          <w:sz w:val="24"/>
          <w:szCs w:val="24"/>
        </w:rPr>
        <w:t>Specific</w:t>
      </w:r>
      <w:r w:rsidRPr="00BF5F53">
        <w:rPr>
          <w:rFonts w:ascii="Times New Roman" w:hAnsi="Times New Roman" w:cs="Times New Roman"/>
          <w:b/>
          <w:sz w:val="24"/>
          <w:szCs w:val="24"/>
        </w:rPr>
        <w:t xml:space="preserve"> objective </w:t>
      </w:r>
      <w:r w:rsidR="00B54CF1" w:rsidRPr="00BF5F53">
        <w:rPr>
          <w:rFonts w:ascii="Times New Roman" w:hAnsi="Times New Roman" w:cs="Times New Roman"/>
          <w:b/>
          <w:sz w:val="24"/>
          <w:szCs w:val="24"/>
        </w:rPr>
        <w:t>“To strengthen and develop all aspect of the Common European Asylum System, including its external dimension”</w:t>
      </w:r>
    </w:p>
    <w:p w:rsidR="00B54CF1" w:rsidRPr="00BF5F53" w:rsidRDefault="00B54CF1" w:rsidP="00D40709">
      <w:pPr>
        <w:spacing w:after="0" w:line="240" w:lineRule="auto"/>
        <w:ind w:firstLine="426"/>
        <w:jc w:val="both"/>
        <w:rPr>
          <w:rFonts w:ascii="Times New Roman" w:hAnsi="Times New Roman" w:cs="Times New Roman"/>
          <w:b/>
          <w:sz w:val="24"/>
          <w:szCs w:val="24"/>
        </w:rPr>
      </w:pPr>
    </w:p>
    <w:p w:rsidR="00D40709" w:rsidRPr="00BF5F53" w:rsidRDefault="00D40709" w:rsidP="009F1FCA">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b/>
          <w:sz w:val="24"/>
          <w:szCs w:val="24"/>
        </w:rPr>
        <w:t>2.1.1. Description of a specific objective</w:t>
      </w:r>
    </w:p>
    <w:tbl>
      <w:tblPr>
        <w:tblW w:w="9747" w:type="dxa"/>
        <w:tblInd w:w="-100" w:type="dxa"/>
        <w:tblCellMar>
          <w:left w:w="0" w:type="dxa"/>
          <w:right w:w="0" w:type="dxa"/>
        </w:tblCellMar>
        <w:tblLook w:val="04A0" w:firstRow="1" w:lastRow="0" w:firstColumn="1" w:lastColumn="0" w:noHBand="0" w:noVBand="1"/>
      </w:tblPr>
      <w:tblGrid>
        <w:gridCol w:w="9747"/>
      </w:tblGrid>
      <w:tr w:rsidR="007C3BD1" w:rsidRPr="00BF5F53" w:rsidTr="007C3BD1">
        <w:tc>
          <w:tcPr>
            <w:tcW w:w="9747" w:type="dxa"/>
            <w:tcBorders>
              <w:top w:val="single" w:sz="6" w:space="0" w:color="000000"/>
              <w:left w:val="single" w:sz="6" w:space="0" w:color="000000"/>
              <w:bottom w:val="single" w:sz="6" w:space="0" w:color="000000"/>
              <w:right w:val="single" w:sz="6" w:space="0" w:color="000000"/>
            </w:tcBorders>
          </w:tcPr>
          <w:p w:rsidR="007C3BD1" w:rsidRPr="00BF5F53" w:rsidRDefault="007C3BD1" w:rsidP="00C67CBD">
            <w:pPr>
              <w:ind w:left="34" w:firstLine="783"/>
              <w:jc w:val="both"/>
              <w:rPr>
                <w:rFonts w:ascii="Times New Roman" w:eastAsia="Times New Roman" w:hAnsi="Times New Roman" w:cs="Times New Roman"/>
                <w:noProof/>
              </w:rPr>
            </w:pPr>
            <w:r w:rsidRPr="00BF5F53">
              <w:rPr>
                <w:rFonts w:ascii="Times New Roman" w:hAnsi="Times New Roman" w:cs="Times New Roman"/>
              </w:rPr>
              <w:t xml:space="preserve">According to the Migration Department, the number of applications for asylum, received in 2017-2019, was 36 per cent higher than in 2014-2016, showing a sharp increase in unfounded applications for asylum, submitted at border crossing points, which means that the accommodation and reception capacity of the Lithuanian asylum system requires further investments, including </w:t>
            </w:r>
            <w:r w:rsidRPr="00BF5F53">
              <w:rPr>
                <w:rFonts w:ascii="Times New Roman" w:hAnsi="Times New Roman" w:cs="Times New Roman"/>
                <w:b/>
              </w:rPr>
              <w:t>strengthening the capacity of asylum case proceedings, consolidating and expanding translation services, and strengthening procedural guarantees for asylum seekers at in all stages of the asylum application procedure (including the border procedures).</w:t>
            </w:r>
            <w:r w:rsidRPr="00BF5F53">
              <w:rPr>
                <w:rFonts w:ascii="Times New Roman" w:hAnsi="Times New Roman" w:cs="Times New Roman"/>
              </w:rPr>
              <w:t xml:space="preserve"> There is a need for additional investments to create a flexible procedure, enabling a swift response to changing flows of asylum seekers and various crises. </w:t>
            </w:r>
          </w:p>
          <w:p w:rsidR="007C3BD1" w:rsidRPr="00BF5F53" w:rsidRDefault="007C3BD1" w:rsidP="00C67CBD">
            <w:pPr>
              <w:ind w:left="34" w:firstLine="783"/>
              <w:jc w:val="both"/>
              <w:rPr>
                <w:rFonts w:ascii="Times New Roman" w:eastAsia="Times New Roman" w:hAnsi="Times New Roman" w:cs="Times New Roman"/>
                <w:noProof/>
              </w:rPr>
            </w:pPr>
            <w:r w:rsidRPr="00BF5F53">
              <w:rPr>
                <w:rFonts w:ascii="Times New Roman" w:hAnsi="Times New Roman" w:cs="Times New Roman"/>
              </w:rPr>
              <w:t>The Programming Period 2014-2020 also marked the construction and furnishing of the dormitory with outdoor leisure areas for vulnerable asylum seekers. The dormitory for asylum seekers at the Foreigners' Registration Centre was renovated as well. This Period also included the development of alternative accommodation models – a renovation of the Refugee Reception Centre in Rukla and expanding accommodation capacity in different municipalities. The total number of accommodation places created or renewed is 218.</w:t>
            </w:r>
          </w:p>
          <w:p w:rsidR="007C3BD1" w:rsidRPr="00BF5F53" w:rsidRDefault="007C3BD1" w:rsidP="00C67CBD">
            <w:pPr>
              <w:ind w:left="34" w:firstLine="783"/>
              <w:jc w:val="both"/>
              <w:rPr>
                <w:rFonts w:ascii="Times New Roman" w:eastAsia="Times New Roman" w:hAnsi="Times New Roman" w:cs="Times New Roman"/>
                <w:noProof/>
              </w:rPr>
            </w:pPr>
            <w:r w:rsidRPr="00BF5F53">
              <w:rPr>
                <w:rFonts w:ascii="Times New Roman" w:hAnsi="Times New Roman" w:cs="Times New Roman"/>
                <w:b/>
              </w:rPr>
              <w:t>Considering the increasing numbers of asylum seekers, it is necessary to expand the accommodation infrastructure and make additional investments into the improvement of the infrastructure already available, keeping to the principles of additionality.</w:t>
            </w:r>
          </w:p>
          <w:p w:rsidR="007C3BD1" w:rsidRPr="00BF5F53" w:rsidRDefault="007C3BD1" w:rsidP="00C67CBD">
            <w:pPr>
              <w:ind w:left="34" w:firstLine="783"/>
              <w:jc w:val="both"/>
              <w:rPr>
                <w:rFonts w:ascii="Times New Roman" w:hAnsi="Times New Roman" w:cs="Times New Roman"/>
                <w:szCs w:val="24"/>
              </w:rPr>
            </w:pPr>
            <w:r w:rsidRPr="00BF5F53">
              <w:rPr>
                <w:rFonts w:ascii="Times New Roman" w:hAnsi="Times New Roman" w:cs="Times New Roman"/>
              </w:rPr>
              <w:t xml:space="preserve">Seeking to ensure flexibility and the ability to react to the changing flows, </w:t>
            </w:r>
            <w:r w:rsidRPr="00BF5F53">
              <w:rPr>
                <w:rFonts w:ascii="Times New Roman" w:hAnsi="Times New Roman" w:cs="Times New Roman"/>
                <w:b/>
              </w:rPr>
              <w:t>there are plans to build a multifunctional building</w:t>
            </w:r>
            <w:r w:rsidRPr="00BF5F53">
              <w:rPr>
                <w:rFonts w:ascii="Times New Roman" w:hAnsi="Times New Roman" w:cs="Times New Roman"/>
              </w:rPr>
              <w:t xml:space="preserve"> at the Foreigners' Registration Centre, which would be used to accommodate </w:t>
            </w:r>
            <w:r w:rsidRPr="00BF5F53">
              <w:rPr>
                <w:rFonts w:ascii="Times New Roman" w:hAnsi="Times New Roman" w:cs="Times New Roman"/>
              </w:rPr>
              <w:lastRenderedPageBreak/>
              <w:t>large families of asylum seekers and include a space for various activities. In order to improve the living conditions at the Foreigners' Registration Centre and the Refugee Reception Centre, the buildings, used for the accommodation of the asylum seekers, will receive additional investments for further renovation.</w:t>
            </w:r>
            <w:r w:rsidRPr="00BF5F53">
              <w:rPr>
                <w:rFonts w:ascii="Times New Roman" w:hAnsi="Times New Roman" w:cs="Times New Roman"/>
                <w:szCs w:val="24"/>
              </w:rPr>
              <w:t xml:space="preserve"> There are plans for further </w:t>
            </w:r>
            <w:r w:rsidRPr="00BF5F53">
              <w:rPr>
                <w:rFonts w:ascii="Times New Roman" w:hAnsi="Times New Roman" w:cs="Times New Roman"/>
                <w:b/>
                <w:szCs w:val="24"/>
              </w:rPr>
              <w:t>development of the alternative model of accommodation at municipalities.</w:t>
            </w:r>
            <w:r w:rsidRPr="00BF5F53">
              <w:rPr>
                <w:rFonts w:ascii="Times New Roman" w:hAnsi="Times New Roman" w:cs="Times New Roman"/>
                <w:szCs w:val="24"/>
              </w:rPr>
              <w:t xml:space="preserve"> </w:t>
            </w:r>
            <w:r w:rsidRPr="00BF5F53">
              <w:rPr>
                <w:rFonts w:ascii="Times New Roman" w:hAnsi="Times New Roman" w:cs="Times New Roman"/>
              </w:rPr>
              <w:t>The Programming Period 2014-2020 marked the introduction of the pilot project, which provides an opportunity for asylum seekers to stay in municipalities at apartments, rented by non-governmental organisations. According to the United Nations’ study, this model proved to be effective (</w:t>
            </w:r>
            <w:r w:rsidR="00120DC5" w:rsidRPr="00BF5F53">
              <w:rPr>
                <w:rFonts w:ascii="Times New Roman" w:hAnsi="Times New Roman" w:cs="Times New Roman"/>
              </w:rPr>
              <w:t>based on</w:t>
            </w:r>
            <w:r w:rsidRPr="00BF5F53">
              <w:rPr>
                <w:rFonts w:ascii="Times New Roman" w:hAnsi="Times New Roman" w:cs="Times New Roman"/>
              </w:rPr>
              <w:t xml:space="preserve"> preliminary findings, in nearly two years, when the p</w:t>
            </w:r>
            <w:r w:rsidR="00120DC5" w:rsidRPr="00BF5F53">
              <w:rPr>
                <w:rFonts w:ascii="Times New Roman" w:hAnsi="Times New Roman" w:cs="Times New Roman"/>
              </w:rPr>
              <w:t>roject h</w:t>
            </w:r>
            <w:r w:rsidRPr="00BF5F53">
              <w:rPr>
                <w:rFonts w:ascii="Times New Roman" w:hAnsi="Times New Roman" w:cs="Times New Roman"/>
              </w:rPr>
              <w:t>as been implemented, only 3 asylum seekers wilfully departed Lithuania, i.e. 4.5 % of all participants). Thus, this model of accommodation should continue and be developed further.</w:t>
            </w:r>
          </w:p>
          <w:p w:rsidR="007C3BD1" w:rsidRPr="00BF5F53" w:rsidRDefault="007C3BD1" w:rsidP="00C67CBD">
            <w:pPr>
              <w:ind w:left="34" w:firstLine="783"/>
              <w:jc w:val="both"/>
              <w:rPr>
                <w:rFonts w:ascii="Times New Roman" w:hAnsi="Times New Roman" w:cs="Times New Roman"/>
                <w:szCs w:val="24"/>
              </w:rPr>
            </w:pPr>
            <w:r w:rsidRPr="00BF5F53">
              <w:rPr>
                <w:rFonts w:ascii="Times New Roman" w:hAnsi="Times New Roman" w:cs="Times New Roman"/>
                <w:szCs w:val="24"/>
              </w:rPr>
              <w:t xml:space="preserve">Additional investments are planned for the preparations or crisis management and establishing a space that could be easily adapted for accommodation and reception services. </w:t>
            </w:r>
            <w:r w:rsidRPr="00BF5F53">
              <w:rPr>
                <w:rFonts w:ascii="Times New Roman" w:hAnsi="Times New Roman" w:cs="Times New Roman"/>
                <w:b/>
              </w:rPr>
              <w:t xml:space="preserve">The first steps of increasing the flexibility of the asylum system are to establish the necessary premises for temporary accommodation infrastructure and temporary housing. </w:t>
            </w:r>
          </w:p>
          <w:p w:rsidR="007C3BD1" w:rsidRPr="00BF5F53" w:rsidRDefault="007C3BD1" w:rsidP="00C67CBD">
            <w:pPr>
              <w:ind w:left="34" w:firstLine="783"/>
              <w:jc w:val="both"/>
              <w:rPr>
                <w:rFonts w:ascii="Times New Roman" w:eastAsia="Times New Roman" w:hAnsi="Times New Roman" w:cs="Times New Roman"/>
                <w:noProof/>
              </w:rPr>
            </w:pPr>
            <w:r w:rsidRPr="00BF5F53">
              <w:rPr>
                <w:rFonts w:ascii="Times New Roman" w:hAnsi="Times New Roman" w:cs="Times New Roman"/>
              </w:rPr>
              <w:t xml:space="preserve">The Programming Period 2014-2020 marked the completion of the construction of the assessment point at the Foreigners' Registration Centre, which will contribute to creating proper conditions for conducting asylum seeker interviews. Swift and high-quality asylum procedures will be ensured by recently-purchased EURODAC equipment. There were investments into expert competence improvement (190 staff members attended trainings on asylum topics) and strengthening the capacity of the Migration Department in collecting and administering statistical data and information on the countries of origin. </w:t>
            </w:r>
            <w:r w:rsidRPr="00BF5F53">
              <w:rPr>
                <w:rFonts w:ascii="Times New Roman" w:hAnsi="Times New Roman" w:cs="Times New Roman"/>
                <w:b/>
              </w:rPr>
              <w:t>There are plans for additional investments into measures to improve the work of the State Border Guard Service and the Migration Department</w:t>
            </w:r>
            <w:r w:rsidRPr="00BF5F53">
              <w:rPr>
                <w:rFonts w:ascii="Times New Roman" w:hAnsi="Times New Roman" w:cs="Times New Roman"/>
              </w:rPr>
              <w:t xml:space="preserve"> (transport, laptops, translation equipment, Eurodac devices) and </w:t>
            </w:r>
            <w:r w:rsidRPr="00BF5F53">
              <w:rPr>
                <w:rFonts w:ascii="Times New Roman" w:hAnsi="Times New Roman" w:cs="Times New Roman"/>
                <w:b/>
              </w:rPr>
              <w:t>improving the competencies of and cooperation opportunities with institutions, non-governmental organisations and other experts (judges, psychologists, public service institutions, NGO, etc.), working in the field of asylum.</w:t>
            </w:r>
            <w:r w:rsidRPr="00BF5F53">
              <w:rPr>
                <w:rFonts w:ascii="Times New Roman" w:hAnsi="Times New Roman" w:cs="Times New Roman"/>
              </w:rPr>
              <w:t xml:space="preserve">  More attention will be focused on improving the quality of legal assistance to third country citizens (there are plans for a pilot project to ensure appropriate expertise and services (including legal assistance) in the initial stage of the asylum procedure both to institutions and the target group by increasing the involvement of the National Courts Administration and the Lithuanian Bar Association). Additional investments are planned for improving the identification and support system for vulnerable asylum seekers, including improving the staff competencies.</w:t>
            </w:r>
          </w:p>
          <w:p w:rsidR="007C3BD1" w:rsidRPr="00BF5F53" w:rsidRDefault="007C3BD1" w:rsidP="00C67CBD">
            <w:pPr>
              <w:ind w:left="34" w:firstLine="783"/>
              <w:jc w:val="both"/>
              <w:rPr>
                <w:rFonts w:ascii="Times New Roman" w:hAnsi="Times New Roman" w:cs="Times New Roman"/>
                <w:b/>
                <w:szCs w:val="24"/>
              </w:rPr>
            </w:pPr>
            <w:r w:rsidRPr="00BF5F53">
              <w:rPr>
                <w:rFonts w:ascii="Times New Roman" w:hAnsi="Times New Roman" w:cs="Times New Roman"/>
              </w:rPr>
              <w:t xml:space="preserve">Throughout the Programming Period 2014-2020, a target group of more than 1,000 persons received </w:t>
            </w:r>
            <w:r w:rsidRPr="00BF5F53">
              <w:rPr>
                <w:rFonts w:ascii="Times New Roman" w:hAnsi="Times New Roman" w:cs="Times New Roman"/>
                <w:b/>
              </w:rPr>
              <w:t>various services</w:t>
            </w:r>
            <w:r w:rsidRPr="00BF5F53">
              <w:rPr>
                <w:rFonts w:ascii="Times New Roman" w:hAnsi="Times New Roman" w:cs="Times New Roman"/>
              </w:rPr>
              <w:t xml:space="preserve"> (legal assistance, translations, social, psychological support, etc.). The services, improvement of their quality and increasing of their scope must also be ensured throughout the next period (humanitarian support, legal assistance, translation services, psychological support, health care services, computer classes, other important measures). The services will be further provided at structural departments of the State Border Guard Services, Refugee Reception Centre and the Migration Department. Additional funds will be allocated to non-governmental organisations in order to maintain the services’ complementarity and complexity. Special attention will be focused on the improvement of the identification and support system for the vulnerable asylum seekers, particularly the persons that have experienced torture, rape or other types of severe psychological, physical or sexual violence.</w:t>
            </w:r>
            <w:r w:rsidRPr="00BF5F53">
              <w:rPr>
                <w:rFonts w:ascii="Times New Roman" w:hAnsi="Times New Roman" w:cs="Times New Roman"/>
                <w:szCs w:val="24"/>
              </w:rPr>
              <w:t xml:space="preserve"> </w:t>
            </w:r>
            <w:r w:rsidRPr="00BF5F53">
              <w:rPr>
                <w:rFonts w:ascii="Times New Roman" w:hAnsi="Times New Roman" w:cs="Times New Roman"/>
                <w:b/>
              </w:rPr>
              <w:t>Seeking to continue the improvement of the asylum system in Lithuania, appropriate monitoring and assessment of the reception conditions will be further funded as well.</w:t>
            </w:r>
          </w:p>
        </w:tc>
      </w:tr>
    </w:tbl>
    <w:p w:rsidR="00D40709" w:rsidRPr="00BF5F53" w:rsidRDefault="00D40709" w:rsidP="00D40709">
      <w:pPr>
        <w:spacing w:after="0" w:line="240" w:lineRule="auto"/>
        <w:jc w:val="both"/>
        <w:rPr>
          <w:rFonts w:ascii="Times New Roman" w:eastAsia="Times New Roman" w:hAnsi="Times New Roman" w:cs="Times New Roman"/>
          <w:b/>
          <w:sz w:val="24"/>
          <w:szCs w:val="24"/>
          <w:lang w:eastAsia="lt-LT"/>
        </w:rPr>
      </w:pPr>
    </w:p>
    <w:p w:rsidR="00D40709" w:rsidRPr="00BF5F53" w:rsidRDefault="00D40709" w:rsidP="00D40709">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2.1.2 Indicators</w:t>
      </w:r>
    </w:p>
    <w:tbl>
      <w:tblPr>
        <w:tblW w:w="11060" w:type="dxa"/>
        <w:tblLayout w:type="fixed"/>
        <w:tblCellMar>
          <w:left w:w="0" w:type="dxa"/>
          <w:right w:w="0" w:type="dxa"/>
        </w:tblCellMar>
        <w:tblLook w:val="04A0" w:firstRow="1" w:lastRow="0" w:firstColumn="1" w:lastColumn="0" w:noHBand="0" w:noVBand="1"/>
      </w:tblPr>
      <w:tblGrid>
        <w:gridCol w:w="1100"/>
        <w:gridCol w:w="567"/>
        <w:gridCol w:w="425"/>
        <w:gridCol w:w="236"/>
        <w:gridCol w:w="1183"/>
        <w:gridCol w:w="140"/>
        <w:gridCol w:w="1419"/>
        <w:gridCol w:w="566"/>
        <w:gridCol w:w="426"/>
        <w:gridCol w:w="425"/>
        <w:gridCol w:w="567"/>
        <w:gridCol w:w="142"/>
        <w:gridCol w:w="425"/>
        <w:gridCol w:w="426"/>
        <w:gridCol w:w="140"/>
        <w:gridCol w:w="711"/>
        <w:gridCol w:w="429"/>
        <w:gridCol w:w="334"/>
        <w:gridCol w:w="86"/>
        <w:gridCol w:w="1028"/>
        <w:gridCol w:w="285"/>
      </w:tblGrid>
      <w:tr w:rsidR="00D40709" w:rsidRPr="00BF5F53" w:rsidTr="009F1FCA">
        <w:trPr>
          <w:gridAfter w:val="2"/>
          <w:wAfter w:w="1313" w:type="dxa"/>
        </w:trPr>
        <w:tc>
          <w:tcPr>
            <w:tcW w:w="9747" w:type="dxa"/>
            <w:gridSpan w:val="19"/>
            <w:tcBorders>
              <w:bottom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Table 1: Output indicators</w:t>
            </w:r>
          </w:p>
        </w:tc>
      </w:tr>
      <w:tr w:rsidR="00D40709" w:rsidRPr="00BF5F53" w:rsidTr="009F1FCA">
        <w:trPr>
          <w:gridAfter w:val="2"/>
          <w:wAfter w:w="1313" w:type="dxa"/>
        </w:trPr>
        <w:tc>
          <w:tcPr>
            <w:tcW w:w="1100"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 xml:space="preserve">Specific </w:t>
            </w:r>
            <w:r w:rsidRPr="00BF5F53">
              <w:rPr>
                <w:rFonts w:ascii="Times New Roman" w:hAnsi="Times New Roman" w:cs="Times New Roman"/>
                <w:sz w:val="20"/>
                <w:szCs w:val="20"/>
              </w:rPr>
              <w:lastRenderedPageBreak/>
              <w:t>objective</w:t>
            </w:r>
          </w:p>
        </w:tc>
        <w:tc>
          <w:tcPr>
            <w:tcW w:w="992"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tabs>
                <w:tab w:val="left" w:pos="111"/>
              </w:tabs>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lastRenderedPageBreak/>
              <w:t>ID [5]</w:t>
            </w:r>
          </w:p>
        </w:tc>
        <w:tc>
          <w:tcPr>
            <w:tcW w:w="3544" w:type="dxa"/>
            <w:gridSpan w:val="5"/>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ind w:left="34"/>
              <w:jc w:val="both"/>
              <w:rPr>
                <w:rFonts w:ascii="Times New Roman" w:eastAsia="Times New Roman" w:hAnsi="Times New Roman" w:cs="Times New Roman"/>
                <w:sz w:val="20"/>
                <w:szCs w:val="20"/>
              </w:rPr>
            </w:pPr>
            <w:r w:rsidRPr="00BF5F53">
              <w:rPr>
                <w:rFonts w:ascii="Times New Roman" w:hAnsi="Times New Roman" w:cs="Times New Roman"/>
                <w:sz w:val="20"/>
                <w:szCs w:val="20"/>
              </w:rPr>
              <w:t>Indicator [255]</w:t>
            </w:r>
          </w:p>
        </w:tc>
        <w:tc>
          <w:tcPr>
            <w:tcW w:w="1418" w:type="dxa"/>
            <w:gridSpan w:val="3"/>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 xml:space="preserve">Measurement </w:t>
            </w:r>
            <w:r w:rsidRPr="00BF5F53">
              <w:rPr>
                <w:rFonts w:ascii="Times New Roman" w:hAnsi="Times New Roman" w:cs="Times New Roman"/>
                <w:sz w:val="20"/>
                <w:szCs w:val="20"/>
              </w:rPr>
              <w:lastRenderedPageBreak/>
              <w:t>unit</w:t>
            </w:r>
          </w:p>
        </w:tc>
        <w:tc>
          <w:tcPr>
            <w:tcW w:w="1133" w:type="dxa"/>
            <w:gridSpan w:val="4"/>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lastRenderedPageBreak/>
              <w:t xml:space="preserve">Milestone </w:t>
            </w:r>
            <w:r w:rsidRPr="00BF5F53">
              <w:rPr>
                <w:rFonts w:ascii="Times New Roman" w:hAnsi="Times New Roman" w:cs="Times New Roman"/>
                <w:sz w:val="20"/>
                <w:szCs w:val="20"/>
              </w:rPr>
              <w:lastRenderedPageBreak/>
              <w:t>(2024)</w:t>
            </w:r>
          </w:p>
        </w:tc>
        <w:tc>
          <w:tcPr>
            <w:tcW w:w="1560" w:type="dxa"/>
            <w:gridSpan w:val="4"/>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lastRenderedPageBreak/>
              <w:t>Target (2029)</w:t>
            </w:r>
          </w:p>
        </w:tc>
      </w:tr>
      <w:tr w:rsidR="001A4E9A" w:rsidRPr="00BF5F53" w:rsidTr="00BF5F53">
        <w:trPr>
          <w:gridAfter w:val="2"/>
          <w:wAfter w:w="1313" w:type="dxa"/>
        </w:trPr>
        <w:tc>
          <w:tcPr>
            <w:tcW w:w="110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1A4E9A">
            <w:pPr>
              <w:spacing w:after="0" w:line="240" w:lineRule="auto"/>
              <w:jc w:val="both"/>
              <w:rPr>
                <w:rFonts w:ascii="Times New Roman" w:eastAsia="Times New Roman" w:hAnsi="Times New Roman" w:cs="Times New Roman"/>
                <w:sz w:val="20"/>
                <w:szCs w:val="20"/>
                <w:lang w:eastAsia="lt-LT"/>
              </w:rPr>
            </w:pPr>
          </w:p>
        </w:tc>
        <w:tc>
          <w:tcPr>
            <w:tcW w:w="99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237FBD">
            <w:pPr>
              <w:tabs>
                <w:tab w:val="left" w:pos="111"/>
              </w:tabs>
              <w:spacing w:after="0" w:line="240" w:lineRule="auto"/>
              <w:jc w:val="both"/>
              <w:rPr>
                <w:rFonts w:ascii="Times New Roman" w:eastAsia="Times New Roman" w:hAnsi="Times New Roman" w:cs="Times New Roman"/>
                <w:sz w:val="20"/>
                <w:szCs w:val="20"/>
                <w:lang w:eastAsia="lt-LT"/>
              </w:rPr>
            </w:pPr>
          </w:p>
        </w:tc>
        <w:tc>
          <w:tcPr>
            <w:tcW w:w="354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eastAsia="Times New Roman" w:hAnsi="Times New Roman" w:cs="Times New Roman"/>
                <w:sz w:val="20"/>
                <w:szCs w:val="20"/>
                <w:lang w:eastAsia="lt-LT"/>
              </w:rPr>
            </w:pPr>
            <w:r w:rsidRPr="00BF5F53">
              <w:rPr>
                <w:rFonts w:ascii="Times New Roman" w:hAnsi="Times New Roman" w:cs="Times New Roman"/>
                <w:bCs/>
                <w:iCs/>
                <w:noProof/>
                <w:sz w:val="20"/>
                <w:szCs w:val="20"/>
              </w:rPr>
              <w:t>Number of participants supported</w:t>
            </w:r>
          </w:p>
        </w:tc>
        <w:tc>
          <w:tcPr>
            <w:tcW w:w="141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113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156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r>
      <w:tr w:rsidR="001A4E9A" w:rsidRPr="00BF5F53" w:rsidTr="00BF5F53">
        <w:trPr>
          <w:gridAfter w:val="2"/>
          <w:wAfter w:w="1313" w:type="dxa"/>
        </w:trPr>
        <w:tc>
          <w:tcPr>
            <w:tcW w:w="110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1A4E9A">
            <w:pPr>
              <w:spacing w:after="0" w:line="240" w:lineRule="auto"/>
              <w:jc w:val="both"/>
              <w:rPr>
                <w:rFonts w:ascii="Times New Roman" w:hAnsi="Times New Roman" w:cs="Times New Roman"/>
                <w:bCs/>
                <w:iCs/>
                <w:noProof/>
                <w:sz w:val="20"/>
                <w:szCs w:val="20"/>
              </w:rPr>
            </w:pPr>
          </w:p>
        </w:tc>
        <w:tc>
          <w:tcPr>
            <w:tcW w:w="99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tabs>
                <w:tab w:val="left" w:pos="111"/>
              </w:tabs>
              <w:spacing w:after="0" w:line="240" w:lineRule="auto"/>
              <w:jc w:val="both"/>
              <w:rPr>
                <w:rFonts w:ascii="Times New Roman" w:eastAsia="Times New Roman" w:hAnsi="Times New Roman" w:cs="Times New Roman"/>
                <w:sz w:val="20"/>
                <w:szCs w:val="20"/>
                <w:lang w:eastAsia="lt-LT"/>
              </w:rPr>
            </w:pPr>
          </w:p>
        </w:tc>
        <w:tc>
          <w:tcPr>
            <w:tcW w:w="354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hAnsi="Times New Roman" w:cs="Times New Roman"/>
                <w:bCs/>
                <w:iCs/>
                <w:noProof/>
                <w:sz w:val="20"/>
                <w:szCs w:val="20"/>
              </w:rPr>
            </w:pPr>
            <w:r w:rsidRPr="00BF5F53">
              <w:rPr>
                <w:rFonts w:ascii="Times New Roman" w:hAnsi="Times New Roman" w:cs="Times New Roman"/>
                <w:bCs/>
                <w:iCs/>
                <w:noProof/>
                <w:sz w:val="20"/>
                <w:szCs w:val="20"/>
              </w:rPr>
              <w:t>-of which number of participants who received legal assistance</w:t>
            </w:r>
          </w:p>
        </w:tc>
        <w:tc>
          <w:tcPr>
            <w:tcW w:w="141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eastAsia="Times New Roman" w:hAnsi="Times New Roman" w:cs="Times New Roman"/>
                <w:sz w:val="20"/>
                <w:szCs w:val="20"/>
                <w:lang w:eastAsia="lt-LT"/>
              </w:rPr>
            </w:pPr>
          </w:p>
        </w:tc>
        <w:tc>
          <w:tcPr>
            <w:tcW w:w="113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eastAsia="Times New Roman" w:hAnsi="Times New Roman" w:cs="Times New Roman"/>
                <w:sz w:val="20"/>
                <w:szCs w:val="20"/>
                <w:lang w:eastAsia="lt-LT"/>
              </w:rPr>
            </w:pPr>
          </w:p>
        </w:tc>
        <w:tc>
          <w:tcPr>
            <w:tcW w:w="156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eastAsia="Times New Roman" w:hAnsi="Times New Roman" w:cs="Times New Roman"/>
                <w:sz w:val="20"/>
                <w:szCs w:val="20"/>
                <w:lang w:eastAsia="lt-LT"/>
              </w:rPr>
            </w:pPr>
          </w:p>
        </w:tc>
      </w:tr>
      <w:tr w:rsidR="001A4E9A" w:rsidRPr="00BF5F53" w:rsidTr="00BF5F53">
        <w:trPr>
          <w:gridAfter w:val="2"/>
          <w:wAfter w:w="1313" w:type="dxa"/>
        </w:trPr>
        <w:tc>
          <w:tcPr>
            <w:tcW w:w="110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1A4E9A">
            <w:pPr>
              <w:spacing w:after="0" w:line="240" w:lineRule="auto"/>
              <w:jc w:val="both"/>
              <w:rPr>
                <w:rFonts w:ascii="Times New Roman" w:hAnsi="Times New Roman" w:cs="Times New Roman"/>
                <w:bCs/>
                <w:iCs/>
                <w:noProof/>
                <w:sz w:val="20"/>
                <w:szCs w:val="20"/>
              </w:rPr>
            </w:pPr>
          </w:p>
        </w:tc>
        <w:tc>
          <w:tcPr>
            <w:tcW w:w="99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tabs>
                <w:tab w:val="left" w:pos="111"/>
              </w:tabs>
              <w:spacing w:after="0" w:line="240" w:lineRule="auto"/>
              <w:jc w:val="both"/>
              <w:rPr>
                <w:rFonts w:ascii="Times New Roman" w:eastAsia="Times New Roman" w:hAnsi="Times New Roman" w:cs="Times New Roman"/>
                <w:sz w:val="20"/>
                <w:szCs w:val="20"/>
                <w:lang w:eastAsia="lt-LT"/>
              </w:rPr>
            </w:pPr>
          </w:p>
        </w:tc>
        <w:tc>
          <w:tcPr>
            <w:tcW w:w="354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hAnsi="Times New Roman" w:cs="Times New Roman"/>
                <w:bCs/>
                <w:iCs/>
                <w:noProof/>
                <w:sz w:val="20"/>
                <w:szCs w:val="20"/>
              </w:rPr>
            </w:pPr>
            <w:r w:rsidRPr="00BF5F53">
              <w:rPr>
                <w:rFonts w:ascii="Times New Roman" w:hAnsi="Times New Roman" w:cs="Times New Roman"/>
                <w:bCs/>
                <w:iCs/>
                <w:noProof/>
                <w:sz w:val="20"/>
                <w:szCs w:val="20"/>
              </w:rPr>
              <w:t>-of which number of vulnerable participants assisted;</w:t>
            </w:r>
          </w:p>
        </w:tc>
        <w:tc>
          <w:tcPr>
            <w:tcW w:w="141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eastAsia="Times New Roman" w:hAnsi="Times New Roman" w:cs="Times New Roman"/>
                <w:sz w:val="20"/>
                <w:szCs w:val="20"/>
                <w:lang w:eastAsia="lt-LT"/>
              </w:rPr>
            </w:pPr>
          </w:p>
        </w:tc>
        <w:tc>
          <w:tcPr>
            <w:tcW w:w="113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eastAsia="Times New Roman" w:hAnsi="Times New Roman" w:cs="Times New Roman"/>
                <w:sz w:val="20"/>
                <w:szCs w:val="20"/>
                <w:lang w:eastAsia="lt-LT"/>
              </w:rPr>
            </w:pPr>
          </w:p>
        </w:tc>
        <w:tc>
          <w:tcPr>
            <w:tcW w:w="156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eastAsia="Times New Roman" w:hAnsi="Times New Roman" w:cs="Times New Roman"/>
                <w:sz w:val="20"/>
                <w:szCs w:val="20"/>
                <w:lang w:eastAsia="lt-LT"/>
              </w:rPr>
            </w:pPr>
          </w:p>
        </w:tc>
      </w:tr>
      <w:tr w:rsidR="001A4E9A" w:rsidRPr="00BF5F53" w:rsidTr="00BF5F53">
        <w:trPr>
          <w:gridAfter w:val="2"/>
          <w:wAfter w:w="1313" w:type="dxa"/>
        </w:trPr>
        <w:tc>
          <w:tcPr>
            <w:tcW w:w="110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1A4E9A">
            <w:pPr>
              <w:spacing w:after="0" w:line="240" w:lineRule="auto"/>
              <w:jc w:val="both"/>
              <w:rPr>
                <w:rFonts w:ascii="Times New Roman" w:hAnsi="Times New Roman" w:cs="Times New Roman"/>
                <w:bCs/>
                <w:iCs/>
                <w:noProof/>
                <w:sz w:val="20"/>
                <w:szCs w:val="20"/>
              </w:rPr>
            </w:pPr>
          </w:p>
        </w:tc>
        <w:tc>
          <w:tcPr>
            <w:tcW w:w="99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tabs>
                <w:tab w:val="left" w:pos="111"/>
              </w:tabs>
              <w:spacing w:after="0" w:line="240" w:lineRule="auto"/>
              <w:jc w:val="both"/>
              <w:rPr>
                <w:rFonts w:ascii="Times New Roman" w:eastAsia="Times New Roman" w:hAnsi="Times New Roman" w:cs="Times New Roman"/>
                <w:sz w:val="20"/>
                <w:szCs w:val="20"/>
                <w:lang w:eastAsia="lt-LT"/>
              </w:rPr>
            </w:pPr>
          </w:p>
        </w:tc>
        <w:tc>
          <w:tcPr>
            <w:tcW w:w="354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hAnsi="Times New Roman" w:cs="Times New Roman"/>
                <w:bCs/>
                <w:iCs/>
                <w:noProof/>
                <w:sz w:val="20"/>
                <w:szCs w:val="20"/>
              </w:rPr>
            </w:pPr>
            <w:r w:rsidRPr="00BF5F53">
              <w:rPr>
                <w:rFonts w:ascii="Times New Roman" w:hAnsi="Times New Roman" w:cs="Times New Roman"/>
                <w:bCs/>
                <w:iCs/>
                <w:noProof/>
                <w:sz w:val="20"/>
                <w:szCs w:val="20"/>
              </w:rPr>
              <w:t>Number of participants in training activities</w:t>
            </w:r>
          </w:p>
        </w:tc>
        <w:tc>
          <w:tcPr>
            <w:tcW w:w="141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eastAsia="Times New Roman" w:hAnsi="Times New Roman" w:cs="Times New Roman"/>
                <w:sz w:val="20"/>
                <w:szCs w:val="20"/>
                <w:lang w:eastAsia="lt-LT"/>
              </w:rPr>
            </w:pPr>
          </w:p>
        </w:tc>
        <w:tc>
          <w:tcPr>
            <w:tcW w:w="113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eastAsia="Times New Roman" w:hAnsi="Times New Roman" w:cs="Times New Roman"/>
                <w:sz w:val="20"/>
                <w:szCs w:val="20"/>
                <w:lang w:eastAsia="lt-LT"/>
              </w:rPr>
            </w:pPr>
          </w:p>
        </w:tc>
        <w:tc>
          <w:tcPr>
            <w:tcW w:w="156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eastAsia="Times New Roman" w:hAnsi="Times New Roman" w:cs="Times New Roman"/>
                <w:sz w:val="20"/>
                <w:szCs w:val="20"/>
                <w:lang w:eastAsia="lt-LT"/>
              </w:rPr>
            </w:pPr>
          </w:p>
        </w:tc>
      </w:tr>
      <w:tr w:rsidR="001A4E9A" w:rsidRPr="00BF5F53" w:rsidTr="00BF5F53">
        <w:trPr>
          <w:gridAfter w:val="2"/>
          <w:wAfter w:w="1313" w:type="dxa"/>
        </w:trPr>
        <w:tc>
          <w:tcPr>
            <w:tcW w:w="110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1A4E9A">
            <w:pPr>
              <w:pStyle w:val="PointManual"/>
              <w:spacing w:before="0" w:after="0" w:line="240" w:lineRule="auto"/>
              <w:ind w:left="0" w:firstLine="0"/>
              <w:rPr>
                <w:bCs/>
                <w:iCs/>
                <w:noProof/>
                <w:sz w:val="20"/>
                <w:szCs w:val="20"/>
              </w:rPr>
            </w:pPr>
          </w:p>
        </w:tc>
        <w:tc>
          <w:tcPr>
            <w:tcW w:w="99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tabs>
                <w:tab w:val="left" w:pos="111"/>
              </w:tabs>
              <w:spacing w:after="0" w:line="240" w:lineRule="auto"/>
              <w:jc w:val="both"/>
              <w:rPr>
                <w:rFonts w:ascii="Times New Roman" w:eastAsia="Times New Roman" w:hAnsi="Times New Roman" w:cs="Times New Roman"/>
                <w:sz w:val="20"/>
                <w:szCs w:val="20"/>
                <w:lang w:eastAsia="lt-LT"/>
              </w:rPr>
            </w:pPr>
          </w:p>
        </w:tc>
        <w:tc>
          <w:tcPr>
            <w:tcW w:w="354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pStyle w:val="PointManual"/>
              <w:spacing w:before="0" w:after="0" w:line="240" w:lineRule="auto"/>
              <w:ind w:left="0" w:firstLine="0"/>
              <w:rPr>
                <w:bCs/>
                <w:iCs/>
                <w:noProof/>
                <w:sz w:val="20"/>
                <w:szCs w:val="20"/>
              </w:rPr>
            </w:pPr>
            <w:r w:rsidRPr="00BF5F53">
              <w:rPr>
                <w:bCs/>
                <w:iCs/>
                <w:noProof/>
                <w:sz w:val="20"/>
                <w:szCs w:val="20"/>
              </w:rPr>
              <w:t>Number of reception infrastructure built/renovated</w:t>
            </w:r>
          </w:p>
        </w:tc>
        <w:tc>
          <w:tcPr>
            <w:tcW w:w="141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eastAsia="Times New Roman" w:hAnsi="Times New Roman" w:cs="Times New Roman"/>
                <w:sz w:val="20"/>
                <w:szCs w:val="20"/>
                <w:lang w:eastAsia="lt-LT"/>
              </w:rPr>
            </w:pPr>
          </w:p>
        </w:tc>
        <w:tc>
          <w:tcPr>
            <w:tcW w:w="113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eastAsia="Times New Roman" w:hAnsi="Times New Roman" w:cs="Times New Roman"/>
                <w:sz w:val="20"/>
                <w:szCs w:val="20"/>
                <w:lang w:eastAsia="lt-LT"/>
              </w:rPr>
            </w:pPr>
          </w:p>
        </w:tc>
        <w:tc>
          <w:tcPr>
            <w:tcW w:w="156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eastAsia="Times New Roman" w:hAnsi="Times New Roman" w:cs="Times New Roman"/>
                <w:sz w:val="20"/>
                <w:szCs w:val="20"/>
                <w:lang w:eastAsia="lt-LT"/>
              </w:rPr>
            </w:pPr>
          </w:p>
        </w:tc>
      </w:tr>
      <w:tr w:rsidR="001A4E9A" w:rsidRPr="00BF5F53" w:rsidTr="00BF5F53">
        <w:trPr>
          <w:gridAfter w:val="2"/>
          <w:wAfter w:w="1313" w:type="dxa"/>
        </w:trPr>
        <w:tc>
          <w:tcPr>
            <w:tcW w:w="110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1A4E9A">
            <w:pPr>
              <w:spacing w:after="0" w:line="240" w:lineRule="auto"/>
              <w:jc w:val="both"/>
              <w:rPr>
                <w:rFonts w:ascii="Times New Roman" w:hAnsi="Times New Roman" w:cs="Times New Roman"/>
                <w:bCs/>
                <w:iCs/>
                <w:noProof/>
                <w:sz w:val="20"/>
                <w:szCs w:val="20"/>
              </w:rPr>
            </w:pPr>
          </w:p>
        </w:tc>
        <w:tc>
          <w:tcPr>
            <w:tcW w:w="99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tabs>
                <w:tab w:val="left" w:pos="111"/>
              </w:tabs>
              <w:spacing w:after="0" w:line="240" w:lineRule="auto"/>
              <w:jc w:val="both"/>
              <w:rPr>
                <w:rFonts w:ascii="Times New Roman" w:eastAsia="Times New Roman" w:hAnsi="Times New Roman" w:cs="Times New Roman"/>
                <w:sz w:val="20"/>
                <w:szCs w:val="20"/>
                <w:lang w:eastAsia="lt-LT"/>
              </w:rPr>
            </w:pPr>
          </w:p>
        </w:tc>
        <w:tc>
          <w:tcPr>
            <w:tcW w:w="354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hAnsi="Times New Roman" w:cs="Times New Roman"/>
                <w:bCs/>
                <w:iCs/>
                <w:noProof/>
                <w:sz w:val="20"/>
                <w:szCs w:val="20"/>
              </w:rPr>
            </w:pPr>
            <w:r w:rsidRPr="00BF5F53">
              <w:rPr>
                <w:rFonts w:ascii="Times New Roman" w:hAnsi="Times New Roman" w:cs="Times New Roman"/>
                <w:bCs/>
                <w:iCs/>
                <w:noProof/>
                <w:sz w:val="20"/>
                <w:szCs w:val="20"/>
              </w:rPr>
              <w:t>Number of reception equipment purchased</w:t>
            </w:r>
          </w:p>
        </w:tc>
        <w:tc>
          <w:tcPr>
            <w:tcW w:w="141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eastAsia="Times New Roman" w:hAnsi="Times New Roman" w:cs="Times New Roman"/>
                <w:sz w:val="20"/>
                <w:szCs w:val="20"/>
                <w:lang w:eastAsia="lt-LT"/>
              </w:rPr>
            </w:pPr>
          </w:p>
        </w:tc>
        <w:tc>
          <w:tcPr>
            <w:tcW w:w="113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eastAsia="Times New Roman" w:hAnsi="Times New Roman" w:cs="Times New Roman"/>
                <w:sz w:val="20"/>
                <w:szCs w:val="20"/>
                <w:lang w:eastAsia="lt-LT"/>
              </w:rPr>
            </w:pPr>
          </w:p>
        </w:tc>
        <w:tc>
          <w:tcPr>
            <w:tcW w:w="156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1A4E9A" w:rsidRPr="00BF5F53" w:rsidRDefault="001A4E9A" w:rsidP="00B171B1">
            <w:pPr>
              <w:spacing w:after="0" w:line="240" w:lineRule="auto"/>
              <w:jc w:val="both"/>
              <w:rPr>
                <w:rFonts w:ascii="Times New Roman" w:eastAsia="Times New Roman" w:hAnsi="Times New Roman" w:cs="Times New Roman"/>
                <w:sz w:val="20"/>
                <w:szCs w:val="20"/>
                <w:lang w:eastAsia="lt-LT"/>
              </w:rPr>
            </w:pPr>
          </w:p>
        </w:tc>
      </w:tr>
      <w:tr w:rsidR="00D40709" w:rsidRPr="00BF5F53" w:rsidTr="00BF5F53">
        <w:trPr>
          <w:gridAfter w:val="1"/>
          <w:wAfter w:w="285" w:type="dxa"/>
        </w:trPr>
        <w:tc>
          <w:tcPr>
            <w:tcW w:w="10775" w:type="dxa"/>
            <w:gridSpan w:val="20"/>
            <w:shd w:val="clear" w:color="auto" w:fill="auto"/>
            <w:tcMar>
              <w:top w:w="0" w:type="dxa"/>
              <w:left w:w="108" w:type="dxa"/>
              <w:bottom w:w="0" w:type="dxa"/>
              <w:right w:w="108" w:type="dxa"/>
            </w:tcMar>
            <w:hideMark/>
          </w:tcPr>
          <w:p w:rsidR="00D40709" w:rsidRPr="00BF5F53" w:rsidRDefault="00D40709" w:rsidP="00237FBD">
            <w:pPr>
              <w:tabs>
                <w:tab w:val="left" w:pos="111"/>
              </w:tabs>
              <w:spacing w:after="0" w:line="240" w:lineRule="auto"/>
              <w:jc w:val="both"/>
              <w:rPr>
                <w:rFonts w:ascii="Times New Roman" w:eastAsia="Times New Roman" w:hAnsi="Times New Roman" w:cs="Times New Roman"/>
                <w:sz w:val="20"/>
                <w:szCs w:val="20"/>
                <w:lang w:eastAsia="lt-LT"/>
              </w:rPr>
            </w:pPr>
          </w:p>
          <w:p w:rsidR="0088411E" w:rsidRPr="00BF5F53" w:rsidRDefault="00D40709" w:rsidP="00237FBD">
            <w:pPr>
              <w:tabs>
                <w:tab w:val="left" w:pos="111"/>
              </w:tabs>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Table 2: Result indicators</w:t>
            </w:r>
          </w:p>
        </w:tc>
      </w:tr>
      <w:tr w:rsidR="00D40709" w:rsidRPr="00BF5F53" w:rsidTr="00BF5F53">
        <w:trPr>
          <w:gridAfter w:val="2"/>
          <w:wAfter w:w="1313" w:type="dxa"/>
        </w:trPr>
        <w:tc>
          <w:tcPr>
            <w:tcW w:w="11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Specific objective</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tabs>
                <w:tab w:val="left" w:pos="111"/>
              </w:tabs>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ID [5]</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1A4E9A">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Indicator [255]</w:t>
            </w:r>
          </w:p>
        </w:tc>
        <w:tc>
          <w:tcPr>
            <w:tcW w:w="14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Measurement unit</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Baseline or reference value</w:t>
            </w: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Reference year</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Target (2029)</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Source of data [200]</w:t>
            </w:r>
          </w:p>
        </w:tc>
        <w:tc>
          <w:tcPr>
            <w:tcW w:w="84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Comments [200]</w:t>
            </w:r>
          </w:p>
        </w:tc>
      </w:tr>
      <w:tr w:rsidR="001A4E9A" w:rsidRPr="00BF5F53" w:rsidTr="00BF5F53">
        <w:trPr>
          <w:gridAfter w:val="2"/>
          <w:wAfter w:w="1313" w:type="dxa"/>
        </w:trPr>
        <w:tc>
          <w:tcPr>
            <w:tcW w:w="11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tabs>
                <w:tab w:val="left" w:pos="111"/>
              </w:tabs>
              <w:spacing w:after="0" w:line="240" w:lineRule="auto"/>
              <w:jc w:val="both"/>
              <w:rPr>
                <w:rFonts w:ascii="Times New Roman" w:eastAsia="Times New Roman" w:hAnsi="Times New Roman" w:cs="Times New Roman"/>
                <w:sz w:val="20"/>
                <w:szCs w:val="20"/>
                <w:lang w:eastAsia="lt-LT"/>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1A4E9A">
            <w:pPr>
              <w:spacing w:after="0" w:line="240" w:lineRule="auto"/>
              <w:jc w:val="both"/>
              <w:rPr>
                <w:rFonts w:ascii="Times New Roman" w:eastAsia="Times New Roman" w:hAnsi="Times New Roman" w:cs="Times New Roman"/>
                <w:sz w:val="20"/>
                <w:szCs w:val="20"/>
                <w:lang w:eastAsia="lt-LT"/>
              </w:rPr>
            </w:pPr>
            <w:r w:rsidRPr="00BF5F53">
              <w:rPr>
                <w:rFonts w:ascii="Times New Roman" w:eastAsia="Times New Roman" w:hAnsi="Times New Roman" w:cs="Times New Roman"/>
                <w:sz w:val="20"/>
                <w:szCs w:val="20"/>
                <w:lang w:eastAsia="lt-LT"/>
              </w:rPr>
              <w:t>Number of newly created places in reception infrastructure</w:t>
            </w:r>
          </w:p>
        </w:tc>
        <w:tc>
          <w:tcPr>
            <w:tcW w:w="14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84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r>
      <w:tr w:rsidR="001A4E9A" w:rsidRPr="00BF5F53" w:rsidTr="00BF5F53">
        <w:trPr>
          <w:gridAfter w:val="2"/>
          <w:wAfter w:w="1313" w:type="dxa"/>
        </w:trPr>
        <w:tc>
          <w:tcPr>
            <w:tcW w:w="11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tabs>
                <w:tab w:val="left" w:pos="111"/>
              </w:tabs>
              <w:spacing w:after="0" w:line="240" w:lineRule="auto"/>
              <w:jc w:val="both"/>
              <w:rPr>
                <w:rFonts w:ascii="Times New Roman" w:eastAsia="Times New Roman" w:hAnsi="Times New Roman" w:cs="Times New Roman"/>
                <w:sz w:val="20"/>
                <w:szCs w:val="20"/>
                <w:lang w:eastAsia="lt-LT"/>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1A4E9A">
            <w:pPr>
              <w:spacing w:after="0" w:line="240" w:lineRule="auto"/>
              <w:jc w:val="both"/>
              <w:rPr>
                <w:rFonts w:ascii="Times New Roman" w:eastAsia="Times New Roman" w:hAnsi="Times New Roman" w:cs="Times New Roman"/>
                <w:sz w:val="20"/>
                <w:szCs w:val="20"/>
                <w:lang w:eastAsia="lt-LT"/>
              </w:rPr>
            </w:pPr>
            <w:r w:rsidRPr="00BF5F53">
              <w:rPr>
                <w:rFonts w:ascii="Times New Roman" w:eastAsia="Times New Roman" w:hAnsi="Times New Roman" w:cs="Times New Roman"/>
                <w:sz w:val="20"/>
                <w:szCs w:val="20"/>
                <w:lang w:eastAsia="lt-LT"/>
              </w:rPr>
              <w:t>–of which number of newly created places for unaccompanied minors</w:t>
            </w:r>
          </w:p>
        </w:tc>
        <w:tc>
          <w:tcPr>
            <w:tcW w:w="14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84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r>
      <w:tr w:rsidR="001A4E9A" w:rsidRPr="00BF5F53" w:rsidTr="00BF5F53">
        <w:trPr>
          <w:gridAfter w:val="2"/>
          <w:wAfter w:w="1313" w:type="dxa"/>
        </w:trPr>
        <w:tc>
          <w:tcPr>
            <w:tcW w:w="11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tabs>
                <w:tab w:val="left" w:pos="111"/>
              </w:tabs>
              <w:spacing w:after="0" w:line="240" w:lineRule="auto"/>
              <w:jc w:val="both"/>
              <w:rPr>
                <w:rFonts w:ascii="Times New Roman" w:eastAsia="Times New Roman" w:hAnsi="Times New Roman" w:cs="Times New Roman"/>
                <w:sz w:val="20"/>
                <w:szCs w:val="20"/>
                <w:lang w:eastAsia="lt-LT"/>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1A4E9A">
            <w:pPr>
              <w:spacing w:after="0" w:line="240" w:lineRule="auto"/>
              <w:jc w:val="both"/>
              <w:rPr>
                <w:rFonts w:ascii="Times New Roman" w:eastAsia="Times New Roman" w:hAnsi="Times New Roman" w:cs="Times New Roman"/>
                <w:sz w:val="20"/>
                <w:szCs w:val="20"/>
                <w:lang w:eastAsia="lt-LT"/>
              </w:rPr>
            </w:pPr>
            <w:r w:rsidRPr="00BF5F53">
              <w:rPr>
                <w:rFonts w:ascii="Times New Roman" w:eastAsia="Times New Roman" w:hAnsi="Times New Roman" w:cs="Times New Roman"/>
                <w:sz w:val="20"/>
                <w:szCs w:val="20"/>
                <w:lang w:eastAsia="lt-LT"/>
              </w:rPr>
              <w:t>Number of renovated/ refurbished places in reception infrastructure;</w:t>
            </w:r>
          </w:p>
        </w:tc>
        <w:tc>
          <w:tcPr>
            <w:tcW w:w="14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84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r>
      <w:tr w:rsidR="001A4E9A" w:rsidRPr="00BF5F53" w:rsidTr="00BF5F53">
        <w:trPr>
          <w:gridAfter w:val="2"/>
          <w:wAfter w:w="1313" w:type="dxa"/>
        </w:trPr>
        <w:tc>
          <w:tcPr>
            <w:tcW w:w="11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tabs>
                <w:tab w:val="left" w:pos="111"/>
              </w:tabs>
              <w:spacing w:after="0" w:line="240" w:lineRule="auto"/>
              <w:jc w:val="both"/>
              <w:rPr>
                <w:rFonts w:ascii="Times New Roman" w:eastAsia="Times New Roman" w:hAnsi="Times New Roman" w:cs="Times New Roman"/>
                <w:sz w:val="20"/>
                <w:szCs w:val="20"/>
                <w:lang w:eastAsia="lt-LT"/>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1A4E9A">
            <w:pPr>
              <w:pStyle w:val="Sraopastraipa"/>
              <w:spacing w:after="0" w:line="240" w:lineRule="auto"/>
              <w:ind w:left="0"/>
              <w:jc w:val="both"/>
              <w:rPr>
                <w:rFonts w:ascii="Times New Roman" w:eastAsia="Times New Roman" w:hAnsi="Times New Roman" w:cs="Times New Roman"/>
                <w:sz w:val="20"/>
                <w:szCs w:val="20"/>
                <w:lang w:eastAsia="lt-LT"/>
              </w:rPr>
            </w:pPr>
            <w:r w:rsidRPr="00BF5F53">
              <w:rPr>
                <w:rFonts w:ascii="Times New Roman" w:eastAsia="Times New Roman" w:hAnsi="Times New Roman" w:cs="Times New Roman"/>
                <w:sz w:val="20"/>
                <w:szCs w:val="20"/>
                <w:lang w:eastAsia="lt-LT"/>
              </w:rPr>
              <w:t>- of which number of renovated/ refurbished places for unaccompanied minors</w:t>
            </w:r>
          </w:p>
        </w:tc>
        <w:tc>
          <w:tcPr>
            <w:tcW w:w="14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84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r>
      <w:tr w:rsidR="001A4E9A" w:rsidRPr="00BF5F53" w:rsidTr="00BF5F53">
        <w:trPr>
          <w:gridAfter w:val="2"/>
          <w:wAfter w:w="1313" w:type="dxa"/>
        </w:trPr>
        <w:tc>
          <w:tcPr>
            <w:tcW w:w="11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tabs>
                <w:tab w:val="left" w:pos="111"/>
              </w:tabs>
              <w:spacing w:after="0" w:line="240" w:lineRule="auto"/>
              <w:jc w:val="both"/>
              <w:rPr>
                <w:rFonts w:ascii="Times New Roman" w:eastAsia="Times New Roman" w:hAnsi="Times New Roman" w:cs="Times New Roman"/>
                <w:sz w:val="20"/>
                <w:szCs w:val="20"/>
                <w:lang w:eastAsia="lt-LT"/>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1A4E9A">
            <w:pPr>
              <w:spacing w:after="0" w:line="240" w:lineRule="auto"/>
              <w:jc w:val="both"/>
              <w:rPr>
                <w:rFonts w:ascii="Times New Roman" w:eastAsia="Times New Roman" w:hAnsi="Times New Roman" w:cs="Times New Roman"/>
                <w:sz w:val="20"/>
                <w:szCs w:val="20"/>
                <w:lang w:eastAsia="lt-LT"/>
              </w:rPr>
            </w:pPr>
            <w:r w:rsidRPr="00BF5F53">
              <w:rPr>
                <w:rFonts w:ascii="Times New Roman" w:eastAsia="Times New Roman" w:hAnsi="Times New Roman" w:cs="Times New Roman"/>
                <w:sz w:val="20"/>
                <w:szCs w:val="20"/>
                <w:lang w:eastAsia="lt-LT"/>
              </w:rPr>
              <w:t>Number of applicants for and beneficiaries of international protection transferred from one Member State to another;</w:t>
            </w:r>
          </w:p>
        </w:tc>
        <w:tc>
          <w:tcPr>
            <w:tcW w:w="14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c>
          <w:tcPr>
            <w:tcW w:w="84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1A4E9A" w:rsidRPr="00BF5F53" w:rsidRDefault="001A4E9A" w:rsidP="00237FBD">
            <w:pPr>
              <w:spacing w:after="0" w:line="240" w:lineRule="auto"/>
              <w:jc w:val="both"/>
              <w:rPr>
                <w:rFonts w:ascii="Times New Roman" w:eastAsia="Times New Roman" w:hAnsi="Times New Roman" w:cs="Times New Roman"/>
                <w:sz w:val="20"/>
                <w:szCs w:val="20"/>
                <w:lang w:eastAsia="lt-LT"/>
              </w:rPr>
            </w:pPr>
          </w:p>
        </w:tc>
      </w:tr>
      <w:tr w:rsidR="00D40709" w:rsidRPr="00BF5F53" w:rsidTr="00BF5F53">
        <w:trPr>
          <w:gridAfter w:val="2"/>
          <w:wAfter w:w="1313" w:type="dxa"/>
        </w:trPr>
        <w:tc>
          <w:tcPr>
            <w:tcW w:w="11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tabs>
                <w:tab w:val="left" w:pos="111"/>
              </w:tabs>
              <w:spacing w:after="0" w:line="240" w:lineRule="auto"/>
              <w:jc w:val="both"/>
              <w:rPr>
                <w:rFonts w:ascii="Times New Roman" w:eastAsia="Times New Roman" w:hAnsi="Times New Roman" w:cs="Times New Roman"/>
                <w:sz w:val="20"/>
                <w:szCs w:val="20"/>
                <w:lang w:eastAsia="lt-LT"/>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1A4E9A" w:rsidP="001A4E9A">
            <w:pPr>
              <w:spacing w:after="0" w:line="240" w:lineRule="auto"/>
              <w:jc w:val="both"/>
              <w:rPr>
                <w:rFonts w:ascii="Times New Roman" w:eastAsia="Times New Roman" w:hAnsi="Times New Roman" w:cs="Times New Roman"/>
                <w:sz w:val="20"/>
                <w:szCs w:val="20"/>
                <w:lang w:eastAsia="lt-LT"/>
              </w:rPr>
            </w:pPr>
            <w:r w:rsidRPr="00BF5F53">
              <w:rPr>
                <w:rFonts w:ascii="Times New Roman" w:eastAsia="Times New Roman" w:hAnsi="Times New Roman" w:cs="Times New Roman"/>
                <w:sz w:val="20"/>
                <w:szCs w:val="20"/>
                <w:lang w:eastAsia="lt-LT"/>
              </w:rPr>
              <w:t>Number of persons resettled</w:t>
            </w:r>
          </w:p>
        </w:tc>
        <w:tc>
          <w:tcPr>
            <w:tcW w:w="14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0"/>
                <w:lang w:eastAsia="lt-LT"/>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0"/>
                <w:lang w:eastAsia="lt-LT"/>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0"/>
                <w:lang w:eastAsia="lt-LT"/>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0"/>
                <w:lang w:eastAsia="lt-LT"/>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0"/>
                <w:lang w:eastAsia="lt-LT"/>
              </w:rPr>
            </w:pPr>
          </w:p>
        </w:tc>
        <w:tc>
          <w:tcPr>
            <w:tcW w:w="84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0"/>
                <w:lang w:eastAsia="lt-LT"/>
              </w:rPr>
            </w:pPr>
          </w:p>
        </w:tc>
      </w:tr>
      <w:tr w:rsidR="00D40709" w:rsidRPr="00BF5F53" w:rsidTr="00BF5F53">
        <w:tc>
          <w:tcPr>
            <w:tcW w:w="1667" w:type="dxa"/>
            <w:gridSpan w:val="2"/>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0"/>
                <w:lang w:eastAsia="lt-LT"/>
              </w:rPr>
            </w:pPr>
          </w:p>
        </w:tc>
        <w:tc>
          <w:tcPr>
            <w:tcW w:w="661" w:type="dxa"/>
            <w:gridSpan w:val="2"/>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0"/>
                <w:lang w:eastAsia="lt-LT"/>
              </w:rPr>
            </w:pPr>
          </w:p>
        </w:tc>
        <w:tc>
          <w:tcPr>
            <w:tcW w:w="1183" w:type="dxa"/>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0"/>
                <w:lang w:eastAsia="lt-LT"/>
              </w:rPr>
            </w:pPr>
          </w:p>
        </w:tc>
        <w:tc>
          <w:tcPr>
            <w:tcW w:w="1559" w:type="dxa"/>
            <w:gridSpan w:val="2"/>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0"/>
                <w:lang w:eastAsia="lt-LT"/>
              </w:rPr>
            </w:pPr>
          </w:p>
        </w:tc>
        <w:tc>
          <w:tcPr>
            <w:tcW w:w="1417" w:type="dxa"/>
            <w:gridSpan w:val="3"/>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0"/>
                <w:lang w:eastAsia="lt-LT"/>
              </w:rPr>
            </w:pPr>
          </w:p>
        </w:tc>
        <w:tc>
          <w:tcPr>
            <w:tcW w:w="1134" w:type="dxa"/>
            <w:gridSpan w:val="3"/>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0"/>
                <w:lang w:eastAsia="lt-LT"/>
              </w:rPr>
            </w:pPr>
          </w:p>
        </w:tc>
        <w:tc>
          <w:tcPr>
            <w:tcW w:w="1706" w:type="dxa"/>
            <w:gridSpan w:val="4"/>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0"/>
                <w:lang w:eastAsia="lt-LT"/>
              </w:rPr>
            </w:pPr>
          </w:p>
        </w:tc>
        <w:tc>
          <w:tcPr>
            <w:tcW w:w="334" w:type="dxa"/>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0"/>
                <w:lang w:eastAsia="lt-LT"/>
              </w:rPr>
            </w:pPr>
          </w:p>
        </w:tc>
        <w:tc>
          <w:tcPr>
            <w:tcW w:w="1399" w:type="dxa"/>
            <w:gridSpan w:val="3"/>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0"/>
                <w:lang w:eastAsia="lt-LT"/>
              </w:rPr>
            </w:pPr>
          </w:p>
        </w:tc>
      </w:tr>
    </w:tbl>
    <w:p w:rsidR="00D40709" w:rsidRPr="00BF5F53" w:rsidRDefault="00D40709" w:rsidP="00D40709">
      <w:pPr>
        <w:spacing w:after="0" w:line="240" w:lineRule="auto"/>
        <w:jc w:val="both"/>
        <w:rPr>
          <w:rFonts w:ascii="Times New Roman" w:eastAsia="Times New Roman" w:hAnsi="Times New Roman" w:cs="Times New Roman"/>
          <w:sz w:val="24"/>
          <w:szCs w:val="24"/>
          <w:lang w:eastAsia="lt-LT"/>
        </w:rPr>
      </w:pPr>
    </w:p>
    <w:p w:rsidR="00D40709" w:rsidRPr="00BF5F53" w:rsidRDefault="00D40709" w:rsidP="00D40709">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2.1.3 Indicative breakdown of the programme resources (EU) by type of intervention</w:t>
      </w:r>
    </w:p>
    <w:p w:rsidR="00D40709" w:rsidRPr="009F1FCA" w:rsidRDefault="00D40709" w:rsidP="00D40709">
      <w:pPr>
        <w:spacing w:after="0" w:line="240" w:lineRule="auto"/>
        <w:jc w:val="both"/>
        <w:rPr>
          <w:rFonts w:ascii="Times New Roman" w:eastAsia="Times New Roman" w:hAnsi="Times New Roman" w:cs="Times New Roman"/>
          <w:i/>
          <w:sz w:val="24"/>
          <w:szCs w:val="24"/>
        </w:rPr>
      </w:pPr>
      <w:r w:rsidRPr="009F1FCA">
        <w:rPr>
          <w:rFonts w:ascii="Times New Roman" w:hAnsi="Times New Roman" w:cs="Times New Roman"/>
          <w:i/>
          <w:sz w:val="24"/>
          <w:szCs w:val="24"/>
        </w:rPr>
        <w:t>Reference: Article 17(5) and Article 10(16) of the BMVI Regulation or Article 10(9) of the ISF Regulation or Article 10(8) of the AMIF Regulation</w:t>
      </w:r>
    </w:p>
    <w:p w:rsidR="00D40709" w:rsidRPr="00BF5F53" w:rsidRDefault="00D40709" w:rsidP="00D40709">
      <w:pPr>
        <w:spacing w:after="0" w:line="240" w:lineRule="auto"/>
        <w:jc w:val="both"/>
        <w:rPr>
          <w:rFonts w:ascii="Times New Roman" w:eastAsia="Times New Roman" w:hAnsi="Times New Roman" w:cs="Times New Roman"/>
          <w:sz w:val="24"/>
          <w:szCs w:val="24"/>
          <w:lang w:eastAsia="lt-LT"/>
        </w:rPr>
      </w:pPr>
    </w:p>
    <w:tbl>
      <w:tblPr>
        <w:tblW w:w="9534" w:type="dxa"/>
        <w:tblCellMar>
          <w:left w:w="0" w:type="dxa"/>
          <w:right w:w="0" w:type="dxa"/>
        </w:tblCellMar>
        <w:tblLook w:val="04A0" w:firstRow="1" w:lastRow="0" w:firstColumn="1" w:lastColumn="0" w:noHBand="0" w:noVBand="1"/>
      </w:tblPr>
      <w:tblGrid>
        <w:gridCol w:w="2938"/>
        <w:gridCol w:w="3216"/>
        <w:gridCol w:w="726"/>
        <w:gridCol w:w="2654"/>
      </w:tblGrid>
      <w:tr w:rsidR="00D40709" w:rsidRPr="00BF5F53" w:rsidTr="00237FBD">
        <w:tc>
          <w:tcPr>
            <w:tcW w:w="953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Table 3</w:t>
            </w:r>
          </w:p>
        </w:tc>
      </w:tr>
      <w:tr w:rsidR="00D40709" w:rsidRPr="00BF5F53" w:rsidTr="00BF5F53">
        <w:tc>
          <w:tcPr>
            <w:tcW w:w="292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Specific objective</w:t>
            </w:r>
          </w:p>
        </w:tc>
        <w:tc>
          <w:tcPr>
            <w:tcW w:w="320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Type of intervention</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Code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Indicative amount (Euro)</w:t>
            </w:r>
          </w:p>
        </w:tc>
      </w:tr>
      <w:tr w:rsidR="00445DE4" w:rsidRPr="00BF5F53" w:rsidTr="00BF5F53">
        <w:tc>
          <w:tcPr>
            <w:tcW w:w="292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hAnsi="Times New Roman" w:cs="Times New Roman"/>
                <w:sz w:val="24"/>
                <w:szCs w:val="24"/>
              </w:rPr>
            </w:pPr>
          </w:p>
        </w:tc>
        <w:tc>
          <w:tcPr>
            <w:tcW w:w="320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hAnsi="Times New Roman" w:cs="Times New Roman"/>
                <w:sz w:val="24"/>
                <w:szCs w:val="24"/>
              </w:rPr>
            </w:pPr>
          </w:p>
        </w:tc>
      </w:tr>
    </w:tbl>
    <w:p w:rsidR="00BF5F53" w:rsidRPr="00BF5F53" w:rsidRDefault="00BF5F53" w:rsidP="007C3BD1">
      <w:pPr>
        <w:spacing w:after="0" w:line="240" w:lineRule="auto"/>
        <w:jc w:val="both"/>
        <w:rPr>
          <w:rFonts w:ascii="Times New Roman" w:hAnsi="Times New Roman" w:cs="Times New Roman"/>
          <w:b/>
          <w:sz w:val="24"/>
          <w:szCs w:val="24"/>
        </w:rPr>
      </w:pPr>
    </w:p>
    <w:p w:rsidR="00D40709" w:rsidRPr="00BF5F53" w:rsidRDefault="00D40709" w:rsidP="007C3BD1">
      <w:pPr>
        <w:spacing w:after="0" w:line="240" w:lineRule="auto"/>
        <w:jc w:val="both"/>
        <w:rPr>
          <w:rFonts w:ascii="Times New Roman" w:hAnsi="Times New Roman" w:cs="Times New Roman"/>
          <w:b/>
          <w:sz w:val="24"/>
          <w:szCs w:val="24"/>
        </w:rPr>
      </w:pPr>
      <w:r w:rsidRPr="00BF5F53">
        <w:rPr>
          <w:rFonts w:ascii="Times New Roman" w:hAnsi="Times New Roman" w:cs="Times New Roman"/>
          <w:b/>
          <w:sz w:val="24"/>
          <w:szCs w:val="24"/>
        </w:rPr>
        <w:t xml:space="preserve">2.2. </w:t>
      </w:r>
      <w:r w:rsidR="00445DE4" w:rsidRPr="00BF5F53">
        <w:rPr>
          <w:rFonts w:ascii="Times New Roman" w:hAnsi="Times New Roman" w:cs="Times New Roman"/>
          <w:b/>
          <w:sz w:val="24"/>
          <w:szCs w:val="24"/>
        </w:rPr>
        <w:t>Specific</w:t>
      </w:r>
      <w:r w:rsidRPr="00BF5F53">
        <w:rPr>
          <w:rFonts w:ascii="Times New Roman" w:hAnsi="Times New Roman" w:cs="Times New Roman"/>
          <w:b/>
          <w:sz w:val="24"/>
          <w:szCs w:val="24"/>
        </w:rPr>
        <w:t xml:space="preserve"> objective </w:t>
      </w:r>
      <w:r w:rsidR="00445DE4" w:rsidRPr="00BF5F53">
        <w:rPr>
          <w:rFonts w:ascii="Times New Roman" w:hAnsi="Times New Roman" w:cs="Times New Roman"/>
          <w:b/>
          <w:sz w:val="24"/>
          <w:szCs w:val="24"/>
        </w:rPr>
        <w:t>“To support legal migration to the Member States and to contribute to the integration of third-country nationals”</w:t>
      </w:r>
    </w:p>
    <w:p w:rsidR="00445DE4" w:rsidRPr="00BF5F53" w:rsidRDefault="00445DE4" w:rsidP="007C3BD1">
      <w:pPr>
        <w:spacing w:after="0" w:line="240" w:lineRule="auto"/>
        <w:jc w:val="both"/>
        <w:rPr>
          <w:rFonts w:ascii="Times New Roman" w:eastAsia="Times New Roman" w:hAnsi="Times New Roman" w:cs="Times New Roman"/>
          <w:b/>
          <w:sz w:val="24"/>
          <w:szCs w:val="24"/>
        </w:rPr>
      </w:pPr>
    </w:p>
    <w:p w:rsidR="00D40709" w:rsidRPr="00BF5F53" w:rsidRDefault="00D40709" w:rsidP="007C3BD1">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b/>
          <w:sz w:val="24"/>
          <w:szCs w:val="24"/>
        </w:rPr>
        <w:t>2.2.1. Description of a specific objective</w:t>
      </w:r>
    </w:p>
    <w:tbl>
      <w:tblPr>
        <w:tblW w:w="9747" w:type="dxa"/>
        <w:tblInd w:w="-100" w:type="dxa"/>
        <w:tblCellMar>
          <w:left w:w="0" w:type="dxa"/>
          <w:right w:w="0" w:type="dxa"/>
        </w:tblCellMar>
        <w:tblLook w:val="04A0" w:firstRow="1" w:lastRow="0" w:firstColumn="1" w:lastColumn="0" w:noHBand="0" w:noVBand="1"/>
      </w:tblPr>
      <w:tblGrid>
        <w:gridCol w:w="9747"/>
      </w:tblGrid>
      <w:tr w:rsidR="007C3BD1" w:rsidRPr="00BF5F53" w:rsidTr="007C3BD1">
        <w:tc>
          <w:tcPr>
            <w:tcW w:w="9747" w:type="dxa"/>
            <w:tcBorders>
              <w:top w:val="single" w:sz="6" w:space="0" w:color="000000"/>
              <w:left w:val="single" w:sz="6" w:space="0" w:color="000000"/>
              <w:bottom w:val="single" w:sz="6" w:space="0" w:color="000000"/>
              <w:right w:val="single" w:sz="6" w:space="0" w:color="000000"/>
            </w:tcBorders>
          </w:tcPr>
          <w:p w:rsidR="007C3BD1" w:rsidRPr="00BF5F53" w:rsidRDefault="007C3BD1" w:rsidP="00BF5F53">
            <w:pPr>
              <w:spacing w:after="80"/>
              <w:ind w:firstLine="817"/>
              <w:jc w:val="both"/>
              <w:rPr>
                <w:rFonts w:ascii="Times New Roman" w:eastAsia="Times New Roman" w:hAnsi="Times New Roman" w:cs="Times New Roman"/>
                <w:noProof/>
                <w:szCs w:val="24"/>
              </w:rPr>
            </w:pPr>
            <w:r w:rsidRPr="00BF5F53">
              <w:rPr>
                <w:rFonts w:ascii="Times New Roman" w:hAnsi="Times New Roman" w:cs="Times New Roman"/>
                <w:szCs w:val="24"/>
              </w:rPr>
              <w:lastRenderedPageBreak/>
              <w:t>The increasing numbers of foreigners in Lithuania create a demand for additional investments into a more efficient and complex integration system, as well improving its synergy with the national service systems. During the Programming Period 2014-2020, investments were made into the improvement of the integration strategy on the national level, and strengthening municipality competencies and strategies of integrating foreigners. There were various assessments, followed by improvement of competencies of various institutions, operating in the field of integration, encouraging their networking to ensure the complementarity and efficiency of their activities.</w:t>
            </w:r>
          </w:p>
          <w:p w:rsidR="007C3BD1" w:rsidRPr="00BF5F53" w:rsidRDefault="007C3BD1" w:rsidP="00BF5F53">
            <w:pPr>
              <w:spacing w:after="80"/>
              <w:ind w:firstLine="817"/>
              <w:jc w:val="both"/>
              <w:rPr>
                <w:rFonts w:ascii="Times New Roman" w:eastAsia="Times New Roman" w:hAnsi="Times New Roman" w:cs="Times New Roman"/>
                <w:noProof/>
                <w:szCs w:val="24"/>
              </w:rPr>
            </w:pPr>
            <w:r w:rsidRPr="00BF5F53">
              <w:rPr>
                <w:rFonts w:ascii="Times New Roman" w:hAnsi="Times New Roman" w:cs="Times New Roman"/>
                <w:szCs w:val="24"/>
              </w:rPr>
              <w:t>The goal of AMIF projects in improving availability of information to various interested parties and the target group was to improve the language skills and other competencies in third country citizens, as well as build relations between local communities and integration/legal migration experts. The newly-developed migration and integration information platform provides all information, related to migration and integration. In addition to that, a tolerance promotion project was implemented to improve the relations and mutual understanding between the third country citizens and the Lithuanian society. Lithuanian Refugee Reception Centre provided integrated services (legal assistance, health care, language and civic orientation courses, information, consultations, etc.). Municipalities (Vilnius, Kaunas and Klaipėda) had three third country citizen integration centres, operated by non-governmental organisations, providing services for third country citizens upon their transfer from the Refugee Reception Centre to municipalities. The target group received integrated services (language teaching, information, consultations, civic orientation, etc.).</w:t>
            </w:r>
          </w:p>
          <w:p w:rsidR="007C3BD1" w:rsidRPr="00BF5F53" w:rsidRDefault="007C3BD1" w:rsidP="00BF5F53">
            <w:pPr>
              <w:spacing w:after="80"/>
              <w:ind w:firstLine="817"/>
              <w:jc w:val="both"/>
              <w:rPr>
                <w:rFonts w:ascii="Times New Roman" w:eastAsia="Times New Roman" w:hAnsi="Times New Roman" w:cs="Times New Roman"/>
                <w:noProof/>
                <w:szCs w:val="24"/>
              </w:rPr>
            </w:pPr>
            <w:r w:rsidRPr="00BF5F53">
              <w:rPr>
                <w:rFonts w:ascii="Times New Roman" w:hAnsi="Times New Roman" w:cs="Times New Roman"/>
                <w:szCs w:val="24"/>
              </w:rPr>
              <w:t xml:space="preserve">The results of the National Integration Evaluation Mechanism showed that Lithuania has a proper and a rather good legal base for integrating asylum seekers, but continues to face certain difficulties in implementing the integration policy; the majority of the challenges are encountered while implementing strategic (long-term) goals of integrating asylum seekers. The national Action Plan 2018–2020 on the Integration of Foreigners into Society and its measures in the field of employment (employer trainings), health care and education (expert trainings, promotion of educational institution networking and development of their methodology) received positive evaluations as well. Nevertheless, there is a need for further investments into the initiatives that have been started and strengthening of the integration system overall. The integration process in Lithuania remains fragmented, determined by a lack of interinstitutional collaboration and leadership. There is a need for additional investments into the development of the integration model and establishment of a long-term monitoring system. </w:t>
            </w:r>
          </w:p>
          <w:p w:rsidR="007C3BD1" w:rsidRPr="00BF5F53" w:rsidRDefault="007C3BD1" w:rsidP="00BF5F53">
            <w:pPr>
              <w:spacing w:after="80"/>
              <w:ind w:firstLine="817"/>
              <w:jc w:val="both"/>
              <w:rPr>
                <w:rFonts w:ascii="Times New Roman" w:eastAsia="Times New Roman" w:hAnsi="Times New Roman" w:cs="Times New Roman"/>
                <w:b/>
                <w:noProof/>
                <w:szCs w:val="24"/>
              </w:rPr>
            </w:pPr>
            <w:r w:rsidRPr="00BF5F53">
              <w:rPr>
                <w:rFonts w:ascii="Times New Roman" w:hAnsi="Times New Roman" w:cs="Times New Roman"/>
                <w:szCs w:val="24"/>
              </w:rPr>
              <w:t xml:space="preserve">The Programming Period 2014-2020 marked initial investments into building municipality competencies in the field of integration to develop their leadership skills on integrating foreigners, improving the competencies of experts in various local sectors and encouraging their collaboration in developing local strategies on foreigner integration. </w:t>
            </w:r>
            <w:r w:rsidRPr="00BF5F53">
              <w:rPr>
                <w:rFonts w:ascii="Times New Roman" w:hAnsi="Times New Roman" w:cs="Times New Roman"/>
                <w:b/>
                <w:szCs w:val="24"/>
              </w:rPr>
              <w:t>The investments will continue</w:t>
            </w:r>
            <w:r w:rsidRPr="00BF5F53">
              <w:rPr>
                <w:rFonts w:ascii="Times New Roman" w:hAnsi="Times New Roman" w:cs="Times New Roman"/>
                <w:szCs w:val="24"/>
              </w:rPr>
              <w:t xml:space="preserve"> during this period as well, </w:t>
            </w:r>
            <w:r w:rsidRPr="00BF5F53">
              <w:rPr>
                <w:rFonts w:ascii="Times New Roman" w:hAnsi="Times New Roman" w:cs="Times New Roman"/>
                <w:b/>
                <w:szCs w:val="24"/>
              </w:rPr>
              <w:t xml:space="preserve">getting more municipalities involved and strengthening the competencies of the municipalities and NGO already working with the target group, as well as promoting cooperation and networking between all local actors. </w:t>
            </w:r>
          </w:p>
          <w:p w:rsidR="007C3BD1" w:rsidRPr="00BF5F53" w:rsidRDefault="007C3BD1" w:rsidP="00BF5F53">
            <w:pPr>
              <w:spacing w:after="80"/>
              <w:ind w:firstLine="817"/>
              <w:jc w:val="both"/>
              <w:rPr>
                <w:rFonts w:ascii="Times New Roman" w:eastAsia="Times New Roman" w:hAnsi="Times New Roman" w:cs="Times New Roman"/>
                <w:noProof/>
                <w:szCs w:val="24"/>
              </w:rPr>
            </w:pPr>
            <w:r w:rsidRPr="00BF5F53">
              <w:rPr>
                <w:rFonts w:ascii="Times New Roman" w:hAnsi="Times New Roman" w:cs="Times New Roman"/>
                <w:szCs w:val="24"/>
              </w:rPr>
              <w:t xml:space="preserve">There are plans for additional efforts in </w:t>
            </w:r>
            <w:r w:rsidRPr="00BF5F53">
              <w:rPr>
                <w:rFonts w:ascii="Times New Roman" w:hAnsi="Times New Roman" w:cs="Times New Roman"/>
                <w:b/>
                <w:szCs w:val="24"/>
              </w:rPr>
              <w:t>strengthening integration monitoring and assessment capacities</w:t>
            </w:r>
            <w:r w:rsidRPr="00BF5F53">
              <w:rPr>
                <w:rFonts w:ascii="Times New Roman" w:hAnsi="Times New Roman" w:cs="Times New Roman"/>
                <w:szCs w:val="24"/>
              </w:rPr>
              <w:t xml:space="preserve"> on the national level. The data on third country citizens, staying in Lithuania, is currently scattered in different institutions and information systems – only some of them are capable of compiling analytical reports, needed for political decision-making. Further investments are planned to ensure information synergy and a possibility to use the data for the development of evidence-based integration policies.</w:t>
            </w:r>
          </w:p>
          <w:p w:rsidR="007C3BD1" w:rsidRPr="00BF5F53" w:rsidRDefault="007C3BD1" w:rsidP="00BF5F53">
            <w:pPr>
              <w:spacing w:after="80"/>
              <w:ind w:firstLine="817"/>
              <w:jc w:val="both"/>
              <w:rPr>
                <w:rFonts w:ascii="Times New Roman" w:eastAsia="Times New Roman" w:hAnsi="Times New Roman" w:cs="Times New Roman"/>
                <w:noProof/>
                <w:szCs w:val="24"/>
              </w:rPr>
            </w:pPr>
            <w:r w:rsidRPr="00BF5F53">
              <w:rPr>
                <w:rFonts w:ascii="Times New Roman" w:hAnsi="Times New Roman" w:cs="Times New Roman"/>
                <w:szCs w:val="24"/>
              </w:rPr>
              <w:t xml:space="preserve">Seeking to improve the synergy with other EU funds and state budget-funded programmes, </w:t>
            </w:r>
            <w:r w:rsidRPr="00BF5F53">
              <w:rPr>
                <w:rFonts w:ascii="Times New Roman" w:hAnsi="Times New Roman" w:cs="Times New Roman"/>
                <w:b/>
                <w:szCs w:val="24"/>
              </w:rPr>
              <w:t>AMIF investments will be used to enable the target group to reach the services, offered in the national system, which is currently difficult due to various obstacles.</w:t>
            </w:r>
          </w:p>
          <w:p w:rsidR="007C3BD1" w:rsidRPr="00BF5F53" w:rsidRDefault="007C3BD1" w:rsidP="00BF5F53">
            <w:pPr>
              <w:spacing w:after="80"/>
              <w:ind w:firstLine="817"/>
              <w:jc w:val="both"/>
              <w:rPr>
                <w:rFonts w:ascii="Times New Roman" w:eastAsia="Times New Roman" w:hAnsi="Times New Roman" w:cs="Times New Roman"/>
                <w:noProof/>
                <w:szCs w:val="24"/>
              </w:rPr>
            </w:pPr>
            <w:r w:rsidRPr="00BF5F53">
              <w:rPr>
                <w:rFonts w:ascii="Times New Roman" w:hAnsi="Times New Roman" w:cs="Times New Roman"/>
                <w:b/>
                <w:szCs w:val="24"/>
              </w:rPr>
              <w:t>In terms of employment</w:t>
            </w:r>
            <w:r w:rsidRPr="00BF5F53">
              <w:rPr>
                <w:rFonts w:ascii="Times New Roman" w:hAnsi="Times New Roman" w:cs="Times New Roman"/>
                <w:szCs w:val="24"/>
              </w:rPr>
              <w:t xml:space="preserve">, more efforts will be focused on </w:t>
            </w:r>
            <w:r w:rsidRPr="00BF5F53">
              <w:rPr>
                <w:rFonts w:ascii="Times New Roman" w:hAnsi="Times New Roman" w:cs="Times New Roman"/>
                <w:b/>
                <w:szCs w:val="24"/>
              </w:rPr>
              <w:t>changing employers’ attitudes</w:t>
            </w:r>
            <w:r w:rsidRPr="00BF5F53">
              <w:rPr>
                <w:rFonts w:ascii="Times New Roman" w:hAnsi="Times New Roman" w:cs="Times New Roman"/>
                <w:szCs w:val="24"/>
              </w:rPr>
              <w:t xml:space="preserve">, also, additional investments will be made into </w:t>
            </w:r>
            <w:r w:rsidRPr="00BF5F53">
              <w:rPr>
                <w:rFonts w:ascii="Times New Roman" w:hAnsi="Times New Roman" w:cs="Times New Roman"/>
                <w:b/>
                <w:szCs w:val="24"/>
              </w:rPr>
              <w:t>vocational orientation and retraining services</w:t>
            </w:r>
            <w:r w:rsidRPr="00BF5F53">
              <w:rPr>
                <w:rFonts w:ascii="Times New Roman" w:hAnsi="Times New Roman" w:cs="Times New Roman"/>
                <w:szCs w:val="24"/>
              </w:rPr>
              <w:t xml:space="preserve">. As usual, the target </w:t>
            </w:r>
            <w:r w:rsidRPr="00BF5F53">
              <w:rPr>
                <w:rFonts w:ascii="Times New Roman" w:hAnsi="Times New Roman" w:cs="Times New Roman"/>
                <w:szCs w:val="24"/>
              </w:rPr>
              <w:lastRenderedPageBreak/>
              <w:t>group will continue to receive consultations and intermediation services, as well as take part at entrepreneurship promotion initiatives. It is necessary to improve the competencies of the experts, working in the field of employment, as well as the quality and synergy of the data, accumulated on labou</w:t>
            </w:r>
            <w:r w:rsidR="00120DC5" w:rsidRPr="00BF5F53">
              <w:rPr>
                <w:rFonts w:ascii="Times New Roman" w:hAnsi="Times New Roman" w:cs="Times New Roman"/>
                <w:szCs w:val="24"/>
              </w:rPr>
              <w:t>r migrants, and its processing.</w:t>
            </w:r>
            <w:r w:rsidRPr="00BF5F53">
              <w:rPr>
                <w:rFonts w:ascii="Times New Roman" w:hAnsi="Times New Roman" w:cs="Times New Roman"/>
                <w:szCs w:val="24"/>
              </w:rPr>
              <w:t xml:space="preserve"> Additional investments are needed to ensure a more active employer involvement into the in</w:t>
            </w:r>
            <w:r w:rsidR="00120DC5" w:rsidRPr="00BF5F53">
              <w:rPr>
                <w:rFonts w:ascii="Times New Roman" w:hAnsi="Times New Roman" w:cs="Times New Roman"/>
                <w:szCs w:val="24"/>
              </w:rPr>
              <w:t xml:space="preserve">tegration processes, providing </w:t>
            </w:r>
            <w:r w:rsidRPr="00BF5F53">
              <w:rPr>
                <w:rFonts w:ascii="Times New Roman" w:hAnsi="Times New Roman" w:cs="Times New Roman"/>
                <w:szCs w:val="24"/>
              </w:rPr>
              <w:t xml:space="preserve">post-employment services at the workplace and improving the employers’ competencies to promote their social responsibility and intercultural environment at work. </w:t>
            </w:r>
          </w:p>
          <w:p w:rsidR="007C3BD1" w:rsidRPr="00BF5F53" w:rsidRDefault="007C3BD1" w:rsidP="00BF5F53">
            <w:pPr>
              <w:spacing w:after="80"/>
              <w:ind w:firstLine="817"/>
              <w:jc w:val="both"/>
              <w:rPr>
                <w:rFonts w:ascii="Times New Roman" w:eastAsia="Times New Roman" w:hAnsi="Times New Roman" w:cs="Times New Roman"/>
                <w:noProof/>
                <w:szCs w:val="24"/>
              </w:rPr>
            </w:pPr>
            <w:r w:rsidRPr="00BF5F53">
              <w:rPr>
                <w:rFonts w:ascii="Times New Roman" w:hAnsi="Times New Roman" w:cs="Times New Roman"/>
                <w:szCs w:val="24"/>
              </w:rPr>
              <w:t xml:space="preserve">This period should also include purposeful additions to the ESF and national budget investments into education. </w:t>
            </w:r>
            <w:r w:rsidRPr="00BF5F53">
              <w:rPr>
                <w:rFonts w:ascii="Times New Roman" w:hAnsi="Times New Roman" w:cs="Times New Roman"/>
                <w:b/>
                <w:szCs w:val="24"/>
              </w:rPr>
              <w:t>There are plans to expand the planned activities for strengthening the competencies of schools,</w:t>
            </w:r>
            <w:r w:rsidRPr="00BF5F53">
              <w:rPr>
                <w:rFonts w:ascii="Times New Roman" w:hAnsi="Times New Roman" w:cs="Times New Roman"/>
                <w:szCs w:val="24"/>
              </w:rPr>
              <w:t xml:space="preserve"> accepting foreigner children and creating opportunities for AMIF target groups to receive the services, when the general national system is unable to meet all of their needs.</w:t>
            </w:r>
          </w:p>
          <w:p w:rsidR="007C3BD1" w:rsidRPr="00BF5F53" w:rsidRDefault="007C3BD1" w:rsidP="00BF5F53">
            <w:pPr>
              <w:spacing w:after="80"/>
              <w:ind w:firstLine="817"/>
              <w:jc w:val="both"/>
              <w:rPr>
                <w:rFonts w:ascii="Times New Roman" w:eastAsia="Times New Roman" w:hAnsi="Times New Roman" w:cs="Times New Roman"/>
                <w:noProof/>
                <w:szCs w:val="24"/>
              </w:rPr>
            </w:pPr>
            <w:r w:rsidRPr="00BF5F53">
              <w:rPr>
                <w:rFonts w:ascii="Times New Roman" w:hAnsi="Times New Roman" w:cs="Times New Roman"/>
                <w:szCs w:val="24"/>
              </w:rPr>
              <w:t xml:space="preserve">The Programming Period 2014-2020 also included investments into the development and application of the national Lithuanian language learning methodology. </w:t>
            </w:r>
            <w:r w:rsidRPr="00BF5F53">
              <w:rPr>
                <w:rFonts w:ascii="Times New Roman" w:hAnsi="Times New Roman" w:cs="Times New Roman"/>
                <w:b/>
                <w:szCs w:val="24"/>
              </w:rPr>
              <w:t>The methodology will be further developed to meet the goals of the content improvement</w:t>
            </w:r>
            <w:r w:rsidRPr="00BF5F53">
              <w:rPr>
                <w:rFonts w:ascii="Times New Roman" w:hAnsi="Times New Roman" w:cs="Times New Roman"/>
                <w:szCs w:val="24"/>
              </w:rPr>
              <w:t xml:space="preserve"> and the needs of the target group during this period as well. More investments will be made into the development of the national society and civic orientation training methodology.</w:t>
            </w:r>
          </w:p>
          <w:p w:rsidR="007C3BD1" w:rsidRPr="00BF5F53" w:rsidRDefault="007C3BD1" w:rsidP="00BF5F53">
            <w:pPr>
              <w:ind w:firstLine="817"/>
              <w:jc w:val="both"/>
              <w:rPr>
                <w:rFonts w:ascii="Times New Roman" w:eastAsia="Times New Roman" w:hAnsi="Times New Roman" w:cs="Times New Roman"/>
                <w:noProof/>
                <w:szCs w:val="24"/>
              </w:rPr>
            </w:pPr>
            <w:r w:rsidRPr="00BF5F53">
              <w:rPr>
                <w:rFonts w:ascii="Times New Roman" w:hAnsi="Times New Roman" w:cs="Times New Roman"/>
                <w:szCs w:val="24"/>
              </w:rPr>
              <w:t xml:space="preserve">Third country citizens will continue to receive an integrated service package to ensure their smooth integration (social, psychological assistance, translation, assistance services, civic orientation trainings, language courses, accommodation search, etc.). More investments will be focused </w:t>
            </w:r>
            <w:r w:rsidRPr="00BF5F53">
              <w:rPr>
                <w:rFonts w:ascii="Times New Roman" w:hAnsi="Times New Roman" w:cs="Times New Roman"/>
                <w:b/>
                <w:szCs w:val="24"/>
              </w:rPr>
              <w:t>on the quality of the services and their efficiency (with particular emphasis on the specific needs of foreigners that were granted asylum) in the fields of health care, domestic violence, activities for children and youth, allocating funds for community initiatives to promote the development of social relations with the local community.</w:t>
            </w:r>
            <w:r w:rsidRPr="00BF5F53">
              <w:rPr>
                <w:rFonts w:ascii="Times New Roman" w:hAnsi="Times New Roman" w:cs="Times New Roman"/>
                <w:szCs w:val="24"/>
              </w:rPr>
              <w:t xml:space="preserve"> Public service institutions (education, health care, courts, police, children’s rights, municipalities, NGO, etc.) will receive funding for improving their competencies as well.</w:t>
            </w:r>
          </w:p>
          <w:p w:rsidR="007C3BD1" w:rsidRPr="00BF5F53" w:rsidRDefault="007C3BD1" w:rsidP="00BF5F53">
            <w:pPr>
              <w:ind w:firstLine="817"/>
              <w:jc w:val="both"/>
              <w:rPr>
                <w:rFonts w:ascii="Times New Roman" w:hAnsi="Times New Roman" w:cs="Times New Roman"/>
                <w:noProof/>
                <w:szCs w:val="24"/>
              </w:rPr>
            </w:pPr>
            <w:r w:rsidRPr="00BF5F53">
              <w:rPr>
                <w:rFonts w:ascii="Times New Roman" w:hAnsi="Times New Roman" w:cs="Times New Roman"/>
                <w:szCs w:val="24"/>
              </w:rPr>
              <w:t xml:space="preserve">Considering the increasing demand for translations and that the quality and value of the other services is directly related to language barriers, there are </w:t>
            </w:r>
            <w:r w:rsidRPr="00BF5F53">
              <w:rPr>
                <w:rFonts w:ascii="Times New Roman" w:hAnsi="Times New Roman" w:cs="Times New Roman"/>
                <w:b/>
                <w:szCs w:val="24"/>
              </w:rPr>
              <w:t>plans for the Programming Period 2021-2027 to establish a national centre for translation services</w:t>
            </w:r>
            <w:r w:rsidRPr="00BF5F53">
              <w:rPr>
                <w:rFonts w:ascii="Times New Roman" w:hAnsi="Times New Roman" w:cs="Times New Roman"/>
                <w:szCs w:val="24"/>
              </w:rPr>
              <w:t>, which would be able to provide fast and flexible translation services from various languages.</w:t>
            </w:r>
          </w:p>
          <w:p w:rsidR="007C3BD1" w:rsidRPr="00BF5F53" w:rsidRDefault="007C3BD1" w:rsidP="00BF5F53">
            <w:pPr>
              <w:spacing w:after="80"/>
              <w:ind w:firstLine="817"/>
              <w:jc w:val="both"/>
              <w:rPr>
                <w:rFonts w:ascii="Times New Roman" w:eastAsia="Times New Roman" w:hAnsi="Times New Roman" w:cs="Times New Roman"/>
                <w:noProof/>
                <w:szCs w:val="24"/>
              </w:rPr>
            </w:pPr>
            <w:r w:rsidRPr="00BF5F53">
              <w:rPr>
                <w:rFonts w:ascii="Times New Roman" w:hAnsi="Times New Roman" w:cs="Times New Roman"/>
                <w:szCs w:val="24"/>
              </w:rPr>
              <w:t xml:space="preserve">Further investment will be allocated to </w:t>
            </w:r>
            <w:r w:rsidRPr="00BF5F53">
              <w:rPr>
                <w:rFonts w:ascii="Times New Roman" w:hAnsi="Times New Roman" w:cs="Times New Roman"/>
                <w:b/>
                <w:szCs w:val="24"/>
              </w:rPr>
              <w:t>communication, publication and information access campaigns.</w:t>
            </w:r>
          </w:p>
        </w:tc>
      </w:tr>
    </w:tbl>
    <w:p w:rsidR="00D40709" w:rsidRPr="00BF5F53" w:rsidRDefault="00D40709" w:rsidP="00D40709">
      <w:pPr>
        <w:spacing w:after="0" w:line="240" w:lineRule="auto"/>
        <w:jc w:val="both"/>
        <w:rPr>
          <w:rFonts w:ascii="Times New Roman" w:eastAsia="Times New Roman" w:hAnsi="Times New Roman" w:cs="Times New Roman"/>
          <w:b/>
          <w:sz w:val="24"/>
          <w:szCs w:val="24"/>
          <w:lang w:eastAsia="lt-LT"/>
        </w:rPr>
      </w:pPr>
    </w:p>
    <w:p w:rsidR="00D40709" w:rsidRPr="00BF5F53" w:rsidRDefault="00D40709" w:rsidP="00D40709">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2.2.2 Indicators</w:t>
      </w:r>
    </w:p>
    <w:tbl>
      <w:tblPr>
        <w:tblW w:w="11910" w:type="dxa"/>
        <w:tblLayout w:type="fixed"/>
        <w:tblCellMar>
          <w:left w:w="0" w:type="dxa"/>
          <w:right w:w="0" w:type="dxa"/>
        </w:tblCellMar>
        <w:tblLook w:val="04A0" w:firstRow="1" w:lastRow="0" w:firstColumn="1" w:lastColumn="0" w:noHBand="0" w:noVBand="1"/>
      </w:tblPr>
      <w:tblGrid>
        <w:gridCol w:w="1098"/>
        <w:gridCol w:w="569"/>
        <w:gridCol w:w="140"/>
        <w:gridCol w:w="519"/>
        <w:gridCol w:w="1324"/>
        <w:gridCol w:w="425"/>
        <w:gridCol w:w="569"/>
        <w:gridCol w:w="566"/>
        <w:gridCol w:w="852"/>
        <w:gridCol w:w="282"/>
        <w:gridCol w:w="283"/>
        <w:gridCol w:w="851"/>
        <w:gridCol w:w="284"/>
        <w:gridCol w:w="236"/>
        <w:gridCol w:w="189"/>
        <w:gridCol w:w="851"/>
        <w:gridCol w:w="430"/>
        <w:gridCol w:w="278"/>
        <w:gridCol w:w="56"/>
        <w:gridCol w:w="1821"/>
        <w:gridCol w:w="287"/>
      </w:tblGrid>
      <w:tr w:rsidR="00D40709" w:rsidRPr="00BF5F53" w:rsidTr="00BF5F53">
        <w:trPr>
          <w:gridAfter w:val="3"/>
          <w:wAfter w:w="2164" w:type="dxa"/>
        </w:trPr>
        <w:tc>
          <w:tcPr>
            <w:tcW w:w="9746" w:type="dxa"/>
            <w:gridSpan w:val="18"/>
            <w:tcBorders>
              <w:bottom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Table 1: Output indicators</w:t>
            </w:r>
          </w:p>
        </w:tc>
      </w:tr>
      <w:tr w:rsidR="00D40709" w:rsidRPr="00BF5F53" w:rsidTr="00BF5F53">
        <w:trPr>
          <w:gridAfter w:val="3"/>
          <w:wAfter w:w="2164" w:type="dxa"/>
        </w:trPr>
        <w:tc>
          <w:tcPr>
            <w:tcW w:w="1098"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Specific objective</w:t>
            </w:r>
          </w:p>
        </w:tc>
        <w:tc>
          <w:tcPr>
            <w:tcW w:w="709"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tabs>
                <w:tab w:val="left" w:pos="111"/>
              </w:tabs>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ID [5]</w:t>
            </w:r>
          </w:p>
        </w:tc>
        <w:tc>
          <w:tcPr>
            <w:tcW w:w="2837" w:type="dxa"/>
            <w:gridSpan w:val="4"/>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ind w:left="34"/>
              <w:jc w:val="both"/>
              <w:rPr>
                <w:rFonts w:ascii="Times New Roman" w:eastAsia="Times New Roman" w:hAnsi="Times New Roman" w:cs="Times New Roman"/>
                <w:sz w:val="20"/>
                <w:szCs w:val="24"/>
              </w:rPr>
            </w:pPr>
            <w:r w:rsidRPr="00BF5F53">
              <w:rPr>
                <w:rFonts w:ascii="Times New Roman" w:hAnsi="Times New Roman" w:cs="Times New Roman"/>
                <w:sz w:val="20"/>
                <w:szCs w:val="24"/>
              </w:rPr>
              <w:t>Indicator [255]</w:t>
            </w:r>
          </w:p>
        </w:tc>
        <w:tc>
          <w:tcPr>
            <w:tcW w:w="1418"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Measurement unit</w:t>
            </w:r>
          </w:p>
        </w:tc>
        <w:tc>
          <w:tcPr>
            <w:tcW w:w="1700" w:type="dxa"/>
            <w:gridSpan w:val="4"/>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Milestone (2024)</w:t>
            </w:r>
          </w:p>
        </w:tc>
        <w:tc>
          <w:tcPr>
            <w:tcW w:w="1984" w:type="dxa"/>
            <w:gridSpan w:val="5"/>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Target (2029)</w:t>
            </w:r>
          </w:p>
        </w:tc>
      </w:tr>
      <w:tr w:rsidR="00445DE4" w:rsidRPr="00BF5F53" w:rsidTr="00BF5F53">
        <w:trPr>
          <w:gridAfter w:val="3"/>
          <w:wAfter w:w="2164" w:type="dxa"/>
        </w:trPr>
        <w:tc>
          <w:tcPr>
            <w:tcW w:w="10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c>
          <w:tcPr>
            <w:tcW w:w="7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tabs>
                <w:tab w:val="left" w:pos="111"/>
              </w:tabs>
              <w:spacing w:after="0" w:line="240" w:lineRule="auto"/>
              <w:jc w:val="both"/>
              <w:rPr>
                <w:rFonts w:ascii="Times New Roman" w:eastAsia="Times New Roman" w:hAnsi="Times New Roman" w:cs="Times New Roman"/>
                <w:sz w:val="20"/>
                <w:szCs w:val="24"/>
                <w:lang w:eastAsia="lt-LT"/>
              </w:rPr>
            </w:pPr>
          </w:p>
        </w:tc>
        <w:tc>
          <w:tcPr>
            <w:tcW w:w="2837"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9806F7" w:rsidP="00B171B1">
            <w:pPr>
              <w:spacing w:after="0" w:line="240" w:lineRule="auto"/>
              <w:ind w:left="34"/>
              <w:jc w:val="both"/>
              <w:rPr>
                <w:rFonts w:ascii="Times New Roman" w:eastAsia="Times New Roman" w:hAnsi="Times New Roman" w:cs="Times New Roman"/>
                <w:sz w:val="20"/>
                <w:szCs w:val="24"/>
                <w:lang w:eastAsia="lt-LT"/>
              </w:rPr>
            </w:pPr>
            <w:r w:rsidRPr="00BF5F53">
              <w:rPr>
                <w:rFonts w:ascii="Times New Roman" w:eastAsia="Times New Roman" w:hAnsi="Times New Roman" w:cs="Times New Roman"/>
                <w:sz w:val="20"/>
                <w:szCs w:val="24"/>
                <w:lang w:eastAsia="lt-LT"/>
              </w:rPr>
              <w:t>Number of participants in pre-departure measures;</w:t>
            </w:r>
          </w:p>
        </w:tc>
        <w:tc>
          <w:tcPr>
            <w:tcW w:w="141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c>
          <w:tcPr>
            <w:tcW w:w="170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c>
          <w:tcPr>
            <w:tcW w:w="198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r>
      <w:tr w:rsidR="00445DE4" w:rsidRPr="00BF5F53" w:rsidTr="00BF5F53">
        <w:trPr>
          <w:gridAfter w:val="3"/>
          <w:wAfter w:w="2164" w:type="dxa"/>
        </w:trPr>
        <w:tc>
          <w:tcPr>
            <w:tcW w:w="10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c>
          <w:tcPr>
            <w:tcW w:w="7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tabs>
                <w:tab w:val="left" w:pos="111"/>
              </w:tabs>
              <w:spacing w:after="0" w:line="240" w:lineRule="auto"/>
              <w:jc w:val="both"/>
              <w:rPr>
                <w:rFonts w:ascii="Times New Roman" w:eastAsia="Times New Roman" w:hAnsi="Times New Roman" w:cs="Times New Roman"/>
                <w:sz w:val="20"/>
                <w:szCs w:val="24"/>
                <w:lang w:eastAsia="lt-LT"/>
              </w:rPr>
            </w:pPr>
          </w:p>
        </w:tc>
        <w:tc>
          <w:tcPr>
            <w:tcW w:w="2837"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9806F7" w:rsidP="00B171B1">
            <w:pPr>
              <w:spacing w:after="0" w:line="240" w:lineRule="auto"/>
              <w:ind w:left="34"/>
              <w:jc w:val="both"/>
              <w:rPr>
                <w:rFonts w:ascii="Times New Roman" w:eastAsia="Times New Roman" w:hAnsi="Times New Roman" w:cs="Times New Roman"/>
                <w:sz w:val="20"/>
                <w:szCs w:val="24"/>
                <w:lang w:eastAsia="lt-LT"/>
              </w:rPr>
            </w:pPr>
            <w:r w:rsidRPr="00BF5F53">
              <w:rPr>
                <w:rFonts w:ascii="Times New Roman" w:eastAsia="Times New Roman" w:hAnsi="Times New Roman" w:cs="Times New Roman"/>
                <w:sz w:val="20"/>
                <w:szCs w:val="24"/>
                <w:lang w:eastAsia="lt-LT"/>
              </w:rPr>
              <w:t>Number of local and regional authorities supported to implement integration measures;</w:t>
            </w:r>
          </w:p>
        </w:tc>
        <w:tc>
          <w:tcPr>
            <w:tcW w:w="141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c>
          <w:tcPr>
            <w:tcW w:w="170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c>
          <w:tcPr>
            <w:tcW w:w="198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r>
      <w:tr w:rsidR="00445DE4" w:rsidRPr="00BF5F53" w:rsidTr="00BF5F53">
        <w:trPr>
          <w:gridAfter w:val="3"/>
          <w:wAfter w:w="2164" w:type="dxa"/>
        </w:trPr>
        <w:tc>
          <w:tcPr>
            <w:tcW w:w="10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c>
          <w:tcPr>
            <w:tcW w:w="7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tabs>
                <w:tab w:val="left" w:pos="111"/>
              </w:tabs>
              <w:spacing w:after="0" w:line="240" w:lineRule="auto"/>
              <w:jc w:val="both"/>
              <w:rPr>
                <w:rFonts w:ascii="Times New Roman" w:eastAsia="Times New Roman" w:hAnsi="Times New Roman" w:cs="Times New Roman"/>
                <w:sz w:val="20"/>
                <w:szCs w:val="24"/>
                <w:lang w:eastAsia="lt-LT"/>
              </w:rPr>
            </w:pPr>
          </w:p>
        </w:tc>
        <w:tc>
          <w:tcPr>
            <w:tcW w:w="2837"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9806F7" w:rsidP="00B171B1">
            <w:pPr>
              <w:spacing w:after="0" w:line="240" w:lineRule="auto"/>
              <w:ind w:left="34"/>
              <w:jc w:val="both"/>
              <w:rPr>
                <w:rFonts w:ascii="Times New Roman" w:eastAsia="Times New Roman" w:hAnsi="Times New Roman" w:cs="Times New Roman"/>
                <w:sz w:val="20"/>
                <w:szCs w:val="24"/>
                <w:lang w:eastAsia="lt-LT"/>
              </w:rPr>
            </w:pPr>
            <w:r w:rsidRPr="00BF5F53">
              <w:rPr>
                <w:rFonts w:ascii="Times New Roman" w:eastAsia="Times New Roman" w:hAnsi="Times New Roman" w:cs="Times New Roman"/>
                <w:sz w:val="20"/>
                <w:szCs w:val="24"/>
                <w:lang w:eastAsia="lt-LT"/>
              </w:rPr>
              <w:t>Number of participants supported;</w:t>
            </w:r>
          </w:p>
        </w:tc>
        <w:tc>
          <w:tcPr>
            <w:tcW w:w="141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c>
          <w:tcPr>
            <w:tcW w:w="170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c>
          <w:tcPr>
            <w:tcW w:w="198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r>
      <w:tr w:rsidR="00445DE4" w:rsidRPr="00BF5F53" w:rsidTr="00BF5F53">
        <w:trPr>
          <w:gridAfter w:val="3"/>
          <w:wAfter w:w="2164" w:type="dxa"/>
        </w:trPr>
        <w:tc>
          <w:tcPr>
            <w:tcW w:w="10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c>
          <w:tcPr>
            <w:tcW w:w="7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tabs>
                <w:tab w:val="left" w:pos="111"/>
              </w:tabs>
              <w:spacing w:after="0" w:line="240" w:lineRule="auto"/>
              <w:jc w:val="both"/>
              <w:rPr>
                <w:rFonts w:ascii="Times New Roman" w:eastAsia="Times New Roman" w:hAnsi="Times New Roman" w:cs="Times New Roman"/>
                <w:sz w:val="20"/>
                <w:szCs w:val="24"/>
                <w:lang w:eastAsia="lt-LT"/>
              </w:rPr>
            </w:pPr>
          </w:p>
        </w:tc>
        <w:tc>
          <w:tcPr>
            <w:tcW w:w="2837"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9806F7" w:rsidP="00B171B1">
            <w:pPr>
              <w:spacing w:after="0" w:line="240" w:lineRule="auto"/>
              <w:ind w:left="34"/>
              <w:jc w:val="both"/>
              <w:rPr>
                <w:rFonts w:ascii="Times New Roman" w:eastAsia="Times New Roman" w:hAnsi="Times New Roman" w:cs="Times New Roman"/>
                <w:sz w:val="20"/>
                <w:szCs w:val="24"/>
                <w:lang w:eastAsia="lt-LT"/>
              </w:rPr>
            </w:pPr>
            <w:r w:rsidRPr="00BF5F53">
              <w:rPr>
                <w:rFonts w:ascii="Times New Roman" w:eastAsia="Times New Roman" w:hAnsi="Times New Roman" w:cs="Times New Roman"/>
                <w:sz w:val="20"/>
                <w:szCs w:val="24"/>
                <w:lang w:eastAsia="lt-LT"/>
              </w:rPr>
              <w:t>–of which number of participants in a language course;</w:t>
            </w:r>
          </w:p>
        </w:tc>
        <w:tc>
          <w:tcPr>
            <w:tcW w:w="141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c>
          <w:tcPr>
            <w:tcW w:w="170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c>
          <w:tcPr>
            <w:tcW w:w="198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r>
      <w:tr w:rsidR="00445DE4" w:rsidRPr="00BF5F53" w:rsidTr="00BF5F53">
        <w:trPr>
          <w:gridAfter w:val="3"/>
          <w:wAfter w:w="2164" w:type="dxa"/>
        </w:trPr>
        <w:tc>
          <w:tcPr>
            <w:tcW w:w="10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c>
          <w:tcPr>
            <w:tcW w:w="7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tabs>
                <w:tab w:val="left" w:pos="111"/>
              </w:tabs>
              <w:spacing w:after="0" w:line="240" w:lineRule="auto"/>
              <w:jc w:val="both"/>
              <w:rPr>
                <w:rFonts w:ascii="Times New Roman" w:eastAsia="Times New Roman" w:hAnsi="Times New Roman" w:cs="Times New Roman"/>
                <w:sz w:val="20"/>
                <w:szCs w:val="24"/>
                <w:lang w:eastAsia="lt-LT"/>
              </w:rPr>
            </w:pPr>
          </w:p>
        </w:tc>
        <w:tc>
          <w:tcPr>
            <w:tcW w:w="2837"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9806F7" w:rsidP="00B171B1">
            <w:pPr>
              <w:spacing w:after="0" w:line="240" w:lineRule="auto"/>
              <w:ind w:left="34"/>
              <w:jc w:val="both"/>
              <w:rPr>
                <w:rFonts w:ascii="Times New Roman" w:eastAsia="Times New Roman" w:hAnsi="Times New Roman" w:cs="Times New Roman"/>
                <w:sz w:val="20"/>
                <w:szCs w:val="24"/>
                <w:lang w:eastAsia="lt-LT"/>
              </w:rPr>
            </w:pPr>
            <w:r w:rsidRPr="00BF5F53">
              <w:rPr>
                <w:rFonts w:ascii="Times New Roman" w:eastAsia="Times New Roman" w:hAnsi="Times New Roman" w:cs="Times New Roman"/>
                <w:sz w:val="20"/>
                <w:szCs w:val="24"/>
                <w:lang w:eastAsia="lt-LT"/>
              </w:rPr>
              <w:t>–of which number of participants in an orientation course</w:t>
            </w:r>
          </w:p>
        </w:tc>
        <w:tc>
          <w:tcPr>
            <w:tcW w:w="141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c>
          <w:tcPr>
            <w:tcW w:w="170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c>
          <w:tcPr>
            <w:tcW w:w="198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45DE4" w:rsidRPr="00BF5F53" w:rsidRDefault="00445DE4" w:rsidP="00B171B1">
            <w:pPr>
              <w:spacing w:after="0" w:line="240" w:lineRule="auto"/>
              <w:jc w:val="both"/>
              <w:rPr>
                <w:rFonts w:ascii="Times New Roman" w:eastAsia="Times New Roman" w:hAnsi="Times New Roman" w:cs="Times New Roman"/>
                <w:sz w:val="20"/>
                <w:szCs w:val="24"/>
                <w:lang w:eastAsia="lt-LT"/>
              </w:rPr>
            </w:pPr>
          </w:p>
        </w:tc>
      </w:tr>
      <w:tr w:rsidR="00D40709" w:rsidRPr="00BF5F53" w:rsidTr="00BF5F53">
        <w:trPr>
          <w:gridAfter w:val="7"/>
          <w:wAfter w:w="3912" w:type="dxa"/>
        </w:trPr>
        <w:tc>
          <w:tcPr>
            <w:tcW w:w="10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7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tabs>
                <w:tab w:val="left" w:pos="111"/>
              </w:tabs>
              <w:spacing w:after="0" w:line="240" w:lineRule="auto"/>
              <w:rPr>
                <w:rFonts w:ascii="Times New Roman" w:eastAsia="Times New Roman" w:hAnsi="Times New Roman" w:cs="Times New Roman"/>
                <w:sz w:val="20"/>
                <w:szCs w:val="24"/>
                <w:lang w:eastAsia="lt-LT"/>
              </w:rPr>
            </w:pPr>
          </w:p>
        </w:tc>
        <w:tc>
          <w:tcPr>
            <w:tcW w:w="2837"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141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170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23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r>
      <w:tr w:rsidR="00D40709" w:rsidRPr="00BF5F53" w:rsidTr="00BF5F53">
        <w:trPr>
          <w:gridAfter w:val="1"/>
          <w:wAfter w:w="287" w:type="dxa"/>
        </w:trPr>
        <w:tc>
          <w:tcPr>
            <w:tcW w:w="11623" w:type="dxa"/>
            <w:gridSpan w:val="20"/>
            <w:shd w:val="clear" w:color="auto" w:fill="auto"/>
            <w:tcMar>
              <w:top w:w="0" w:type="dxa"/>
              <w:left w:w="108" w:type="dxa"/>
              <w:bottom w:w="0" w:type="dxa"/>
              <w:right w:w="108" w:type="dxa"/>
            </w:tcMar>
            <w:hideMark/>
          </w:tcPr>
          <w:p w:rsidR="00D40709" w:rsidRPr="00BF5F53"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p>
          <w:p w:rsidR="0088411E" w:rsidRPr="00BF5F53" w:rsidRDefault="00D40709" w:rsidP="00237FBD">
            <w:pPr>
              <w:tabs>
                <w:tab w:val="left" w:pos="111"/>
              </w:tabs>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lastRenderedPageBreak/>
              <w:t>Table 2: Result indicators</w:t>
            </w:r>
          </w:p>
        </w:tc>
      </w:tr>
      <w:tr w:rsidR="00D40709" w:rsidRPr="00BF5F53" w:rsidTr="00BF5F53">
        <w:trPr>
          <w:gridAfter w:val="3"/>
          <w:wAfter w:w="2164" w:type="dxa"/>
        </w:trPr>
        <w:tc>
          <w:tcPr>
            <w:tcW w:w="109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lastRenderedPageBreak/>
              <w:t>Specific objective</w:t>
            </w:r>
          </w:p>
        </w:tc>
        <w:tc>
          <w:tcPr>
            <w:tcW w:w="56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tabs>
                <w:tab w:val="left" w:pos="111"/>
              </w:tabs>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ID [5]</w:t>
            </w: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Indicator [255]</w:t>
            </w:r>
          </w:p>
        </w:tc>
        <w:tc>
          <w:tcPr>
            <w:tcW w:w="113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Measurement unit</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Baseline or reference value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Reference year</w:t>
            </w: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Target (2029)</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Source of data [200]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Comments [200]</w:t>
            </w:r>
          </w:p>
        </w:tc>
      </w:tr>
      <w:tr w:rsidR="00D40709" w:rsidRPr="00BF5F53" w:rsidTr="00BF5F53">
        <w:trPr>
          <w:gridAfter w:val="3"/>
          <w:wAfter w:w="2164" w:type="dxa"/>
        </w:trPr>
        <w:tc>
          <w:tcPr>
            <w:tcW w:w="109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4"/>
                <w:lang w:eastAsia="lt-LT"/>
              </w:rPr>
            </w:pPr>
          </w:p>
        </w:tc>
        <w:tc>
          <w:tcPr>
            <w:tcW w:w="56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9806F7" w:rsidP="00237FBD">
            <w:pPr>
              <w:spacing w:after="0" w:line="240" w:lineRule="auto"/>
              <w:jc w:val="both"/>
              <w:rPr>
                <w:rFonts w:ascii="Times New Roman" w:eastAsia="Times New Roman" w:hAnsi="Times New Roman" w:cs="Times New Roman"/>
                <w:sz w:val="20"/>
                <w:szCs w:val="24"/>
                <w:lang w:eastAsia="lt-LT"/>
              </w:rPr>
            </w:pPr>
            <w:r w:rsidRPr="00BF5F53">
              <w:rPr>
                <w:rFonts w:ascii="Times New Roman" w:eastAsia="Times New Roman" w:hAnsi="Times New Roman" w:cs="Times New Roman"/>
                <w:sz w:val="20"/>
                <w:szCs w:val="24"/>
                <w:lang w:eastAsia="lt-LT"/>
              </w:rPr>
              <w:t xml:space="preserve">Number of participants in language courses who have improved their proficiency level </w:t>
            </w:r>
            <w:proofErr w:type="spellStart"/>
            <w:r w:rsidRPr="00BF5F53">
              <w:rPr>
                <w:rFonts w:ascii="Times New Roman" w:eastAsia="Times New Roman" w:hAnsi="Times New Roman" w:cs="Times New Roman"/>
                <w:sz w:val="20"/>
                <w:szCs w:val="24"/>
                <w:lang w:eastAsia="lt-LT"/>
              </w:rPr>
              <w:t>inthe</w:t>
            </w:r>
            <w:proofErr w:type="spellEnd"/>
            <w:r w:rsidRPr="00BF5F53">
              <w:rPr>
                <w:rFonts w:ascii="Times New Roman" w:eastAsia="Times New Roman" w:hAnsi="Times New Roman" w:cs="Times New Roman"/>
                <w:sz w:val="20"/>
                <w:szCs w:val="24"/>
                <w:lang w:eastAsia="lt-LT"/>
              </w:rPr>
              <w:t xml:space="preserve"> host-country language upon leaving the language course by at least one level in the Common European Framework of Reference for Languages or national equivalent</w:t>
            </w:r>
          </w:p>
        </w:tc>
        <w:tc>
          <w:tcPr>
            <w:tcW w:w="113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4"/>
                <w:lang w:eastAsia="lt-LT"/>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4"/>
                <w:lang w:eastAsia="lt-LT"/>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4"/>
                <w:lang w:eastAsia="lt-LT"/>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4"/>
                <w:lang w:eastAsia="lt-LT"/>
              </w:rPr>
            </w:pPr>
          </w:p>
        </w:tc>
        <w:tc>
          <w:tcPr>
            <w:tcW w:w="85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4"/>
                <w:lang w:eastAsia="lt-LT"/>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4"/>
                <w:lang w:eastAsia="lt-LT"/>
              </w:rPr>
            </w:pPr>
          </w:p>
        </w:tc>
      </w:tr>
      <w:tr w:rsidR="009806F7" w:rsidRPr="00BF5F53" w:rsidTr="00BF5F53">
        <w:trPr>
          <w:gridAfter w:val="3"/>
          <w:wAfter w:w="2164" w:type="dxa"/>
        </w:trPr>
        <w:tc>
          <w:tcPr>
            <w:tcW w:w="109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237FBD">
            <w:pPr>
              <w:spacing w:after="0" w:line="240" w:lineRule="auto"/>
              <w:jc w:val="both"/>
              <w:rPr>
                <w:rFonts w:ascii="Times New Roman" w:eastAsia="Times New Roman" w:hAnsi="Times New Roman" w:cs="Times New Roman"/>
                <w:sz w:val="20"/>
                <w:szCs w:val="24"/>
                <w:lang w:eastAsia="lt-LT"/>
              </w:rPr>
            </w:pPr>
          </w:p>
        </w:tc>
        <w:tc>
          <w:tcPr>
            <w:tcW w:w="56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237FBD">
            <w:pPr>
              <w:tabs>
                <w:tab w:val="left" w:pos="111"/>
              </w:tabs>
              <w:spacing w:after="0" w:line="240" w:lineRule="auto"/>
              <w:jc w:val="both"/>
              <w:rPr>
                <w:rFonts w:ascii="Times New Roman" w:eastAsia="Times New Roman" w:hAnsi="Times New Roman" w:cs="Times New Roman"/>
                <w:sz w:val="20"/>
                <w:szCs w:val="24"/>
                <w:lang w:eastAsia="lt-LT"/>
              </w:rPr>
            </w:pPr>
          </w:p>
        </w:tc>
        <w:tc>
          <w:tcPr>
            <w:tcW w:w="2408"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237FBD">
            <w:pPr>
              <w:spacing w:after="0" w:line="240" w:lineRule="auto"/>
              <w:jc w:val="both"/>
              <w:rPr>
                <w:rFonts w:ascii="Times New Roman" w:eastAsia="Times New Roman" w:hAnsi="Times New Roman" w:cs="Times New Roman"/>
                <w:sz w:val="20"/>
                <w:szCs w:val="24"/>
                <w:lang w:eastAsia="lt-LT"/>
              </w:rPr>
            </w:pPr>
            <w:r w:rsidRPr="00BF5F53">
              <w:rPr>
                <w:rFonts w:ascii="Times New Roman" w:eastAsia="Times New Roman" w:hAnsi="Times New Roman" w:cs="Times New Roman"/>
                <w:sz w:val="20"/>
                <w:szCs w:val="24"/>
                <w:lang w:eastAsia="lt-LT"/>
              </w:rPr>
              <w:t>Number of participants who reported, after the end of the support, that the activity was perceived helpful for their integration</w:t>
            </w:r>
          </w:p>
        </w:tc>
        <w:tc>
          <w:tcPr>
            <w:tcW w:w="113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237FBD">
            <w:pPr>
              <w:spacing w:after="0" w:line="240" w:lineRule="auto"/>
              <w:jc w:val="both"/>
              <w:rPr>
                <w:rFonts w:ascii="Times New Roman" w:eastAsia="Times New Roman" w:hAnsi="Times New Roman" w:cs="Times New Roman"/>
                <w:sz w:val="20"/>
                <w:szCs w:val="24"/>
                <w:lang w:eastAsia="lt-LT"/>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237FBD">
            <w:pPr>
              <w:spacing w:after="0" w:line="240" w:lineRule="auto"/>
              <w:jc w:val="both"/>
              <w:rPr>
                <w:rFonts w:ascii="Times New Roman" w:eastAsia="Times New Roman" w:hAnsi="Times New Roman" w:cs="Times New Roman"/>
                <w:sz w:val="20"/>
                <w:szCs w:val="24"/>
                <w:lang w:eastAsia="lt-LT"/>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237FBD">
            <w:pPr>
              <w:spacing w:after="0" w:line="240" w:lineRule="auto"/>
              <w:jc w:val="both"/>
              <w:rPr>
                <w:rFonts w:ascii="Times New Roman" w:eastAsia="Times New Roman" w:hAnsi="Times New Roman" w:cs="Times New Roman"/>
                <w:sz w:val="20"/>
                <w:szCs w:val="24"/>
                <w:lang w:eastAsia="lt-LT"/>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237FBD">
            <w:pPr>
              <w:spacing w:after="0" w:line="240" w:lineRule="auto"/>
              <w:jc w:val="both"/>
              <w:rPr>
                <w:rFonts w:ascii="Times New Roman" w:eastAsia="Times New Roman" w:hAnsi="Times New Roman" w:cs="Times New Roman"/>
                <w:sz w:val="20"/>
                <w:szCs w:val="24"/>
                <w:lang w:eastAsia="lt-LT"/>
              </w:rPr>
            </w:pPr>
          </w:p>
        </w:tc>
        <w:tc>
          <w:tcPr>
            <w:tcW w:w="85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237FBD">
            <w:pPr>
              <w:spacing w:after="0" w:line="240" w:lineRule="auto"/>
              <w:jc w:val="both"/>
              <w:rPr>
                <w:rFonts w:ascii="Times New Roman" w:eastAsia="Times New Roman" w:hAnsi="Times New Roman" w:cs="Times New Roman"/>
                <w:sz w:val="20"/>
                <w:szCs w:val="24"/>
                <w:lang w:eastAsia="lt-LT"/>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237FBD">
            <w:pPr>
              <w:spacing w:after="0" w:line="240" w:lineRule="auto"/>
              <w:jc w:val="both"/>
              <w:rPr>
                <w:rFonts w:ascii="Times New Roman" w:eastAsia="Times New Roman" w:hAnsi="Times New Roman" w:cs="Times New Roman"/>
                <w:sz w:val="20"/>
                <w:szCs w:val="24"/>
                <w:lang w:eastAsia="lt-LT"/>
              </w:rPr>
            </w:pPr>
          </w:p>
        </w:tc>
      </w:tr>
      <w:tr w:rsidR="00D40709" w:rsidRPr="00BF5F53" w:rsidTr="00BF5F53">
        <w:tc>
          <w:tcPr>
            <w:tcW w:w="1667" w:type="dxa"/>
            <w:gridSpan w:val="2"/>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659" w:type="dxa"/>
            <w:gridSpan w:val="2"/>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1324" w:type="dxa"/>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1560" w:type="dxa"/>
            <w:gridSpan w:val="3"/>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1417" w:type="dxa"/>
            <w:gridSpan w:val="3"/>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1135" w:type="dxa"/>
            <w:gridSpan w:val="2"/>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1706" w:type="dxa"/>
            <w:gridSpan w:val="4"/>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334" w:type="dxa"/>
            <w:gridSpan w:val="2"/>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2108" w:type="dxa"/>
            <w:gridSpan w:val="2"/>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r>
    </w:tbl>
    <w:p w:rsidR="00D40709" w:rsidRPr="00BF5F53" w:rsidRDefault="00D40709" w:rsidP="00D40709">
      <w:pPr>
        <w:spacing w:after="0" w:line="240" w:lineRule="auto"/>
        <w:jc w:val="both"/>
        <w:rPr>
          <w:rFonts w:ascii="Times New Roman" w:eastAsia="Times New Roman" w:hAnsi="Times New Roman" w:cs="Times New Roman"/>
          <w:sz w:val="24"/>
          <w:szCs w:val="24"/>
          <w:lang w:eastAsia="lt-LT"/>
        </w:rPr>
      </w:pPr>
    </w:p>
    <w:p w:rsidR="00D40709" w:rsidRPr="00BF5F53" w:rsidRDefault="007C3BD1" w:rsidP="00D40709">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2.2.3 Indicative breakdown of the programme resources (EU) by type of intervention</w:t>
      </w:r>
    </w:p>
    <w:p w:rsidR="00D40709" w:rsidRPr="009F1FCA" w:rsidRDefault="00D40709" w:rsidP="00D40709">
      <w:pPr>
        <w:spacing w:after="0" w:line="240" w:lineRule="auto"/>
        <w:jc w:val="both"/>
        <w:rPr>
          <w:rFonts w:ascii="Times New Roman" w:eastAsia="Times New Roman" w:hAnsi="Times New Roman" w:cs="Times New Roman"/>
          <w:i/>
          <w:sz w:val="24"/>
          <w:szCs w:val="24"/>
        </w:rPr>
      </w:pPr>
      <w:r w:rsidRPr="009F1FCA">
        <w:rPr>
          <w:rFonts w:ascii="Times New Roman" w:hAnsi="Times New Roman" w:cs="Times New Roman"/>
          <w:i/>
          <w:sz w:val="24"/>
          <w:szCs w:val="24"/>
        </w:rPr>
        <w:t>Reference: Article 17(5) and Article 10(16) of the BMVI Regulation or Article 10(9) of the ISF Regulation or Article 10(8) of the AMIF Regulation</w:t>
      </w:r>
    </w:p>
    <w:p w:rsidR="00D40709" w:rsidRPr="009F1FCA" w:rsidRDefault="00D40709" w:rsidP="00D40709">
      <w:pPr>
        <w:spacing w:after="0" w:line="240" w:lineRule="auto"/>
        <w:jc w:val="both"/>
        <w:rPr>
          <w:rFonts w:ascii="Times New Roman" w:eastAsia="Times New Roman" w:hAnsi="Times New Roman" w:cs="Times New Roman"/>
          <w:i/>
          <w:sz w:val="24"/>
          <w:szCs w:val="24"/>
          <w:lang w:eastAsia="lt-LT"/>
        </w:rPr>
      </w:pPr>
    </w:p>
    <w:tbl>
      <w:tblPr>
        <w:tblW w:w="9534" w:type="dxa"/>
        <w:tblCellMar>
          <w:left w:w="0" w:type="dxa"/>
          <w:right w:w="0" w:type="dxa"/>
        </w:tblCellMar>
        <w:tblLook w:val="04A0" w:firstRow="1" w:lastRow="0" w:firstColumn="1" w:lastColumn="0" w:noHBand="0" w:noVBand="1"/>
      </w:tblPr>
      <w:tblGrid>
        <w:gridCol w:w="2542"/>
        <w:gridCol w:w="2784"/>
        <w:gridCol w:w="904"/>
        <w:gridCol w:w="3304"/>
      </w:tblGrid>
      <w:tr w:rsidR="00D40709" w:rsidRPr="00BF5F53" w:rsidTr="00237FBD">
        <w:tc>
          <w:tcPr>
            <w:tcW w:w="953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Table 3</w:t>
            </w:r>
          </w:p>
        </w:tc>
      </w:tr>
      <w:tr w:rsidR="00D40709" w:rsidRPr="00BF5F53" w:rsidTr="00237FBD">
        <w:tc>
          <w:tcPr>
            <w:tcW w:w="203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Specific objective</w:t>
            </w:r>
          </w:p>
        </w:tc>
        <w:tc>
          <w:tcPr>
            <w:tcW w:w="222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Type of intervention</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Code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Indicative amount (Euro)</w:t>
            </w:r>
          </w:p>
        </w:tc>
      </w:tr>
      <w:tr w:rsidR="009806F7" w:rsidRPr="00BF5F53" w:rsidTr="00237FBD">
        <w:tc>
          <w:tcPr>
            <w:tcW w:w="203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237FBD">
            <w:pPr>
              <w:spacing w:after="0" w:line="240" w:lineRule="auto"/>
              <w:jc w:val="both"/>
              <w:rPr>
                <w:rFonts w:ascii="Times New Roman" w:hAnsi="Times New Roman" w:cs="Times New Roman"/>
                <w:sz w:val="24"/>
                <w:szCs w:val="24"/>
              </w:rPr>
            </w:pPr>
          </w:p>
        </w:tc>
        <w:tc>
          <w:tcPr>
            <w:tcW w:w="222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237FBD">
            <w:pPr>
              <w:spacing w:after="0" w:line="240" w:lineRule="auto"/>
              <w:jc w:val="both"/>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237FBD">
            <w:pPr>
              <w:spacing w:after="0" w:line="240" w:lineRule="auto"/>
              <w:jc w:val="both"/>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237FBD">
            <w:pPr>
              <w:spacing w:after="0" w:line="240" w:lineRule="auto"/>
              <w:jc w:val="both"/>
              <w:rPr>
                <w:rFonts w:ascii="Times New Roman" w:hAnsi="Times New Roman" w:cs="Times New Roman"/>
                <w:sz w:val="24"/>
                <w:szCs w:val="24"/>
              </w:rPr>
            </w:pPr>
          </w:p>
        </w:tc>
      </w:tr>
      <w:tr w:rsidR="00D40709" w:rsidRPr="00BF5F53" w:rsidTr="00237FBD">
        <w:tc>
          <w:tcPr>
            <w:tcW w:w="203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4"/>
                <w:szCs w:val="24"/>
                <w:lang w:eastAsia="lt-LT"/>
              </w:rPr>
            </w:pPr>
          </w:p>
        </w:tc>
        <w:tc>
          <w:tcPr>
            <w:tcW w:w="222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4"/>
                <w:szCs w:val="24"/>
                <w:lang w:eastAsia="lt-LT"/>
              </w:rPr>
            </w:pPr>
          </w:p>
        </w:tc>
      </w:tr>
    </w:tbl>
    <w:p w:rsidR="00D40709" w:rsidRPr="00BF5F53" w:rsidRDefault="00D40709" w:rsidP="00D40709">
      <w:pPr>
        <w:spacing w:after="0" w:line="240" w:lineRule="auto"/>
        <w:ind w:left="468"/>
        <w:jc w:val="both"/>
        <w:rPr>
          <w:rFonts w:ascii="Times New Roman" w:eastAsia="Times New Roman" w:hAnsi="Times New Roman" w:cs="Times New Roman"/>
          <w:sz w:val="24"/>
          <w:szCs w:val="24"/>
          <w:lang w:eastAsia="lt-LT"/>
        </w:rPr>
      </w:pPr>
    </w:p>
    <w:p w:rsidR="00D40709" w:rsidRPr="00BF5F53" w:rsidRDefault="007C3BD1" w:rsidP="007C3BD1">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 xml:space="preserve">2.3. </w:t>
      </w:r>
      <w:r w:rsidR="009806F7" w:rsidRPr="00BF5F53">
        <w:rPr>
          <w:rFonts w:ascii="Times New Roman" w:hAnsi="Times New Roman" w:cs="Times New Roman"/>
          <w:b/>
          <w:sz w:val="24"/>
          <w:szCs w:val="24"/>
        </w:rPr>
        <w:t>Specific</w:t>
      </w:r>
      <w:r w:rsidRPr="00BF5F53">
        <w:rPr>
          <w:rFonts w:ascii="Times New Roman" w:hAnsi="Times New Roman" w:cs="Times New Roman"/>
          <w:b/>
          <w:sz w:val="24"/>
          <w:szCs w:val="24"/>
        </w:rPr>
        <w:t xml:space="preserve"> objective </w:t>
      </w:r>
      <w:r w:rsidR="009806F7" w:rsidRPr="00BF5F53">
        <w:rPr>
          <w:rFonts w:ascii="Times New Roman" w:hAnsi="Times New Roman" w:cs="Times New Roman"/>
          <w:b/>
          <w:sz w:val="24"/>
          <w:szCs w:val="24"/>
        </w:rPr>
        <w:t>“To contribute to countering irregular migration and ensuring effectiveness of return and readmission in third countries”</w:t>
      </w:r>
    </w:p>
    <w:p w:rsidR="00D40709" w:rsidRPr="00BF5F53" w:rsidRDefault="007C3BD1" w:rsidP="007C3BD1">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b/>
          <w:sz w:val="24"/>
          <w:szCs w:val="24"/>
        </w:rPr>
        <w:t>2.3.1. Description of a specific objective</w:t>
      </w:r>
    </w:p>
    <w:tbl>
      <w:tblPr>
        <w:tblW w:w="9747" w:type="dxa"/>
        <w:tblCellMar>
          <w:left w:w="0" w:type="dxa"/>
          <w:right w:w="0" w:type="dxa"/>
        </w:tblCellMar>
        <w:tblLook w:val="04A0" w:firstRow="1" w:lastRow="0" w:firstColumn="1" w:lastColumn="0" w:noHBand="0" w:noVBand="1"/>
      </w:tblPr>
      <w:tblGrid>
        <w:gridCol w:w="9747"/>
      </w:tblGrid>
      <w:tr w:rsidR="007C3BD1" w:rsidRPr="00BF5F53" w:rsidTr="007C3BD1">
        <w:tc>
          <w:tcPr>
            <w:tcW w:w="9747" w:type="dxa"/>
            <w:tcBorders>
              <w:top w:val="single" w:sz="6" w:space="0" w:color="000000"/>
              <w:left w:val="single" w:sz="6" w:space="0" w:color="000000"/>
              <w:bottom w:val="single" w:sz="6" w:space="0" w:color="000000"/>
              <w:right w:val="single" w:sz="6" w:space="0" w:color="000000"/>
            </w:tcBorders>
          </w:tcPr>
          <w:p w:rsidR="007C3BD1" w:rsidRPr="00BF5F53" w:rsidRDefault="007C3BD1" w:rsidP="009806F7">
            <w:pPr>
              <w:spacing w:after="80"/>
              <w:ind w:firstLine="859"/>
              <w:jc w:val="both"/>
              <w:rPr>
                <w:rFonts w:ascii="Times New Roman" w:eastAsia="Times New Roman" w:hAnsi="Times New Roman" w:cs="Times New Roman"/>
                <w:noProof/>
              </w:rPr>
            </w:pPr>
            <w:r w:rsidRPr="00BF5F53">
              <w:rPr>
                <w:rFonts w:ascii="Times New Roman" w:hAnsi="Times New Roman" w:cs="Times New Roman"/>
              </w:rPr>
              <w:t xml:space="preserve">During the Programming Period 2014-2020 the majority of investments was focused on developing the deportation system in Lithuania and ensuring appropriate procedures, services and accommodation for the target group. </w:t>
            </w:r>
          </w:p>
          <w:p w:rsidR="007C3BD1" w:rsidRPr="00BF5F53" w:rsidRDefault="007C3BD1" w:rsidP="009806F7">
            <w:pPr>
              <w:spacing w:after="80"/>
              <w:ind w:firstLine="859"/>
              <w:jc w:val="both"/>
              <w:rPr>
                <w:rFonts w:ascii="Times New Roman" w:eastAsia="Times New Roman" w:hAnsi="Times New Roman" w:cs="Times New Roman"/>
                <w:noProof/>
              </w:rPr>
            </w:pPr>
            <w:r w:rsidRPr="00BF5F53">
              <w:rPr>
                <w:rFonts w:ascii="Times New Roman" w:hAnsi="Times New Roman" w:cs="Times New Roman"/>
              </w:rPr>
              <w:t xml:space="preserve">The deportation operations were implemented by the International Organisation for Migration and the State Border Guard Service – their cooperation made it possible to coordinate the activities of forced deportation and voluntary departure. </w:t>
            </w:r>
            <w:r w:rsidRPr="00BF5F53">
              <w:rPr>
                <w:rFonts w:ascii="Times New Roman" w:hAnsi="Times New Roman" w:cs="Times New Roman"/>
                <w:b/>
              </w:rPr>
              <w:t>These activities will continue with strengthened cooperation of the responsible institutions and coordination of forced deportation, voluntary departure and reintegration in the country of origin. Seeking to encourage voluntary departure, there are plans for additional investments into promoting awareness on voluntary departure and institutional cooperation</w:t>
            </w:r>
            <w:r w:rsidRPr="00BF5F53">
              <w:rPr>
                <w:rFonts w:ascii="Times New Roman" w:hAnsi="Times New Roman" w:cs="Times New Roman"/>
              </w:rPr>
              <w:t xml:space="preserve"> (staff competence improvement, preparation of information on the benefits of voluntary departure, development of the competency module, instructions for interviewing persons to be deported, etc.). In addition to that, seeking to supplement the voluntary departure and reintegration model with monitoring and assessment of the continuity of the investments, </w:t>
            </w:r>
            <w:r w:rsidRPr="00BF5F53">
              <w:rPr>
                <w:rFonts w:ascii="Times New Roman" w:hAnsi="Times New Roman" w:cs="Times New Roman"/>
                <w:b/>
              </w:rPr>
              <w:t>there are plans for additional investments into the infrastructure to support information exchange with the countries of origin</w:t>
            </w:r>
            <w:r w:rsidRPr="00BF5F53">
              <w:rPr>
                <w:rFonts w:ascii="Times New Roman" w:hAnsi="Times New Roman" w:cs="Times New Roman"/>
              </w:rPr>
              <w:t xml:space="preserve">. </w:t>
            </w:r>
          </w:p>
          <w:p w:rsidR="007C3BD1" w:rsidRPr="00BF5F53" w:rsidRDefault="007C3BD1" w:rsidP="009806F7">
            <w:pPr>
              <w:spacing w:after="80"/>
              <w:ind w:firstLine="859"/>
              <w:jc w:val="both"/>
              <w:rPr>
                <w:rFonts w:ascii="Times New Roman" w:eastAsia="Times New Roman" w:hAnsi="Times New Roman" w:cs="Times New Roman"/>
                <w:noProof/>
              </w:rPr>
            </w:pPr>
            <w:r w:rsidRPr="00BF5F53">
              <w:rPr>
                <w:rFonts w:ascii="Times New Roman" w:hAnsi="Times New Roman" w:cs="Times New Roman"/>
              </w:rPr>
              <w:t xml:space="preserve">Seeking to improve the accommodation and deportation conditions for the persons to be deported during the Programming Period 2014-2020 investments were made into accommodation infrastructure at the Foreigners' Registration Centre and services for detained persons. There are further plans to </w:t>
            </w:r>
            <w:r w:rsidRPr="00BF5F53">
              <w:rPr>
                <w:rFonts w:ascii="Times New Roman" w:hAnsi="Times New Roman" w:cs="Times New Roman"/>
                <w:b/>
              </w:rPr>
              <w:t>improve the accommodation infrastructure at the Foreigners' Registration Centre</w:t>
            </w:r>
            <w:r w:rsidRPr="00BF5F53">
              <w:rPr>
                <w:rFonts w:ascii="Times New Roman" w:hAnsi="Times New Roman" w:cs="Times New Roman"/>
              </w:rPr>
              <w:t xml:space="preserve"> (modernisation of video surveillance systems, communication systems, purchasing the needed transport vehicles, etc.) and </w:t>
            </w:r>
            <w:r w:rsidRPr="00BF5F53">
              <w:rPr>
                <w:rFonts w:ascii="Times New Roman" w:hAnsi="Times New Roman" w:cs="Times New Roman"/>
                <w:b/>
              </w:rPr>
              <w:t xml:space="preserve">invest into </w:t>
            </w:r>
            <w:r w:rsidRPr="00BF5F53">
              <w:rPr>
                <w:rFonts w:ascii="Times New Roman" w:hAnsi="Times New Roman" w:cs="Times New Roman"/>
                <w:b/>
              </w:rPr>
              <w:lastRenderedPageBreak/>
              <w:t>leisure areas for the detained</w:t>
            </w:r>
            <w:r w:rsidRPr="00BF5F53">
              <w:rPr>
                <w:rFonts w:ascii="Times New Roman" w:hAnsi="Times New Roman" w:cs="Times New Roman"/>
              </w:rPr>
              <w:t xml:space="preserve"> thus expanding the scope of the services, available for the target group. Additional </w:t>
            </w:r>
            <w:r w:rsidRPr="00BF5F53">
              <w:rPr>
                <w:rFonts w:ascii="Times New Roman" w:hAnsi="Times New Roman" w:cs="Times New Roman"/>
                <w:b/>
              </w:rPr>
              <w:t>investments will focus on the means, needed by the State Border Guard Service to improve their work efficiency</w:t>
            </w:r>
            <w:r w:rsidRPr="00BF5F53">
              <w:rPr>
                <w:rFonts w:ascii="Times New Roman" w:hAnsi="Times New Roman" w:cs="Times New Roman"/>
              </w:rPr>
              <w:t xml:space="preserve"> (transport, laptops, translation devices, portable Eurodac devices). </w:t>
            </w:r>
            <w:r w:rsidR="00120DC5" w:rsidRPr="00BF5F53">
              <w:rPr>
                <w:rFonts w:ascii="Times New Roman" w:hAnsi="Times New Roman" w:cs="Times New Roman"/>
              </w:rPr>
              <w:t>The</w:t>
            </w:r>
            <w:r w:rsidRPr="00BF5F53">
              <w:rPr>
                <w:rFonts w:ascii="Times New Roman" w:hAnsi="Times New Roman" w:cs="Times New Roman"/>
              </w:rPr>
              <w:t xml:space="preserve"> services, needed by the </w:t>
            </w:r>
            <w:r w:rsidRPr="00BF5F53">
              <w:rPr>
                <w:rFonts w:ascii="Times New Roman" w:hAnsi="Times New Roman" w:cs="Times New Roman"/>
                <w:b/>
              </w:rPr>
              <w:t>persons to be deported and planning voluntary departure</w:t>
            </w:r>
            <w:r w:rsidRPr="00BF5F53">
              <w:rPr>
                <w:rFonts w:ascii="Times New Roman" w:hAnsi="Times New Roman" w:cs="Times New Roman"/>
              </w:rPr>
              <w:t xml:space="preserve"> (translations, legal assistance, etc.), </w:t>
            </w:r>
            <w:r w:rsidRPr="00BF5F53">
              <w:rPr>
                <w:rFonts w:ascii="Times New Roman" w:hAnsi="Times New Roman" w:cs="Times New Roman"/>
                <w:b/>
              </w:rPr>
              <w:t>will continue</w:t>
            </w:r>
            <w:r w:rsidRPr="00BF5F53">
              <w:rPr>
                <w:rFonts w:ascii="Times New Roman" w:hAnsi="Times New Roman" w:cs="Times New Roman"/>
              </w:rPr>
              <w:t xml:space="preserve"> in this period as well, supplemented with leisure, employment, social services (particularly focusing on the need to provide activities for the children of the persons to be deported) and improving services, provided at border crossing points. The period of 2021-2027 will focus on funding projects to create an alternative model of accommodation and providing services in local communities (for persons, that were not granted asylum, until their departure, particularly focusing on families and vulnerable persons).</w:t>
            </w:r>
          </w:p>
          <w:p w:rsidR="007C3BD1" w:rsidRPr="00BF5F53" w:rsidRDefault="007C3BD1" w:rsidP="009806F7">
            <w:pPr>
              <w:spacing w:after="80"/>
              <w:ind w:firstLine="859"/>
              <w:jc w:val="both"/>
              <w:rPr>
                <w:rFonts w:ascii="Times New Roman" w:eastAsia="Times New Roman" w:hAnsi="Times New Roman" w:cs="Times New Roman"/>
                <w:b/>
                <w:noProof/>
              </w:rPr>
            </w:pPr>
            <w:r w:rsidRPr="00BF5F53">
              <w:rPr>
                <w:rFonts w:ascii="Times New Roman" w:hAnsi="Times New Roman" w:cs="Times New Roman"/>
              </w:rPr>
              <w:t xml:space="preserve">The results, achieved during the deportation monitoring, conducted during the Programming Period 2014-2020 (80 deportation operations) were used to provide appropriate recommendations for the improvement of competence and skills at the involved institutions. Cooperation with the third states will be strengthened to ensure smooth deportation processes and adherence to readmission agreements. </w:t>
            </w:r>
            <w:r w:rsidRPr="00BF5F53">
              <w:rPr>
                <w:rFonts w:ascii="Times New Roman" w:hAnsi="Times New Roman" w:cs="Times New Roman"/>
                <w:b/>
              </w:rPr>
              <w:t>This period will include further funding of the deportation monitoring, as well as system and policy assessments to strengthen illegal migration prevention measures and ensure the efficiency of the deportation and readmission processes.</w:t>
            </w:r>
          </w:p>
          <w:p w:rsidR="007C3BD1" w:rsidRPr="00BF5F53" w:rsidRDefault="007C3BD1" w:rsidP="009806F7">
            <w:pPr>
              <w:spacing w:after="80"/>
              <w:ind w:firstLine="859"/>
              <w:jc w:val="both"/>
              <w:rPr>
                <w:rFonts w:ascii="Times New Roman" w:eastAsia="Times New Roman" w:hAnsi="Times New Roman" w:cs="Times New Roman"/>
                <w:noProof/>
              </w:rPr>
            </w:pPr>
            <w:r w:rsidRPr="00BF5F53">
              <w:rPr>
                <w:rFonts w:ascii="Times New Roman" w:hAnsi="Times New Roman" w:cs="Times New Roman"/>
              </w:rPr>
              <w:t xml:space="preserve">In 2021-2027, </w:t>
            </w:r>
            <w:r w:rsidRPr="00BF5F53">
              <w:rPr>
                <w:rFonts w:ascii="Times New Roman" w:hAnsi="Times New Roman" w:cs="Times New Roman"/>
                <w:b/>
              </w:rPr>
              <w:t>additional attention will be focused on measures to prevent illegal migration and illegal employment, as well as eliminate their outcome</w:t>
            </w:r>
            <w:r w:rsidRPr="00BF5F53">
              <w:rPr>
                <w:rFonts w:ascii="Times New Roman" w:hAnsi="Times New Roman" w:cs="Times New Roman"/>
              </w:rPr>
              <w:t xml:space="preserve">, including situation analysis, cooperation and exchange of experience, services for the victims, involvement of employee and employer organisations, awareness campaigns to inform employers and illegal migrants on their rights and duties, as well as other measures that contribute to illegal migration and employment prevention, particularly in risk sectors. Improvements will be made in the systematic model of identifying vulnerability and providing psychological assistance (improving staff competencies, particularly in identifying vulnerability in terms of illegal employment, forced labour and human trafficking). So far, 100 experts have improved their competencies during the period of 2014-2020. The plans for this period include further </w:t>
            </w:r>
            <w:r w:rsidRPr="00BF5F53">
              <w:rPr>
                <w:rFonts w:ascii="Times New Roman" w:hAnsi="Times New Roman" w:cs="Times New Roman"/>
                <w:b/>
              </w:rPr>
              <w:t>improvements into the system’s competencies, also including new areas and involving new experts</w:t>
            </w:r>
            <w:r w:rsidRPr="00BF5F53">
              <w:rPr>
                <w:rFonts w:ascii="Times New Roman" w:hAnsi="Times New Roman" w:cs="Times New Roman"/>
              </w:rPr>
              <w:t xml:space="preserve"> (for example, in the field of illegal employment). </w:t>
            </w:r>
          </w:p>
        </w:tc>
      </w:tr>
    </w:tbl>
    <w:p w:rsidR="00D40709" w:rsidRPr="00BF5F53" w:rsidRDefault="00D40709" w:rsidP="00D40709">
      <w:pPr>
        <w:spacing w:after="0" w:line="240" w:lineRule="auto"/>
        <w:jc w:val="both"/>
        <w:rPr>
          <w:rFonts w:ascii="Times New Roman" w:eastAsia="Times New Roman" w:hAnsi="Times New Roman" w:cs="Times New Roman"/>
          <w:b/>
          <w:sz w:val="24"/>
          <w:szCs w:val="24"/>
          <w:lang w:eastAsia="lt-LT"/>
        </w:rPr>
      </w:pPr>
    </w:p>
    <w:p w:rsidR="00D40709" w:rsidRPr="00BF5F53" w:rsidRDefault="00D40709" w:rsidP="00D40709">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2.3.2 Indicators</w:t>
      </w:r>
    </w:p>
    <w:tbl>
      <w:tblPr>
        <w:tblW w:w="11910" w:type="dxa"/>
        <w:tblLayout w:type="fixed"/>
        <w:tblCellMar>
          <w:left w:w="0" w:type="dxa"/>
          <w:right w:w="0" w:type="dxa"/>
        </w:tblCellMar>
        <w:tblLook w:val="04A0" w:firstRow="1" w:lastRow="0" w:firstColumn="1" w:lastColumn="0" w:noHBand="0" w:noVBand="1"/>
      </w:tblPr>
      <w:tblGrid>
        <w:gridCol w:w="1100"/>
        <w:gridCol w:w="567"/>
        <w:gridCol w:w="141"/>
        <w:gridCol w:w="520"/>
        <w:gridCol w:w="1324"/>
        <w:gridCol w:w="284"/>
        <w:gridCol w:w="1275"/>
        <w:gridCol w:w="708"/>
        <w:gridCol w:w="426"/>
        <w:gridCol w:w="283"/>
        <w:gridCol w:w="709"/>
        <w:gridCol w:w="142"/>
        <w:gridCol w:w="283"/>
        <w:gridCol w:w="426"/>
        <w:gridCol w:w="424"/>
        <w:gridCol w:w="236"/>
        <w:gridCol w:w="191"/>
        <w:gridCol w:w="429"/>
        <w:gridCol w:w="279"/>
        <w:gridCol w:w="55"/>
        <w:gridCol w:w="1823"/>
        <w:gridCol w:w="285"/>
      </w:tblGrid>
      <w:tr w:rsidR="00D40709" w:rsidRPr="00BF5F53" w:rsidTr="009F1FCA">
        <w:trPr>
          <w:gridAfter w:val="3"/>
          <w:wAfter w:w="2163" w:type="dxa"/>
        </w:trPr>
        <w:tc>
          <w:tcPr>
            <w:tcW w:w="9747" w:type="dxa"/>
            <w:gridSpan w:val="19"/>
            <w:tcBorders>
              <w:bottom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Table 1: Output indicators</w:t>
            </w:r>
          </w:p>
        </w:tc>
      </w:tr>
      <w:tr w:rsidR="00D40709" w:rsidRPr="00BF5F53" w:rsidTr="009F1FCA">
        <w:trPr>
          <w:gridAfter w:val="3"/>
          <w:wAfter w:w="2163" w:type="dxa"/>
        </w:trPr>
        <w:tc>
          <w:tcPr>
            <w:tcW w:w="1100"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Specific objective</w:t>
            </w:r>
          </w:p>
        </w:tc>
        <w:tc>
          <w:tcPr>
            <w:tcW w:w="708"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tabs>
                <w:tab w:val="left" w:pos="111"/>
              </w:tabs>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ID [5]</w:t>
            </w:r>
          </w:p>
        </w:tc>
        <w:tc>
          <w:tcPr>
            <w:tcW w:w="4111" w:type="dxa"/>
            <w:gridSpan w:val="5"/>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ind w:left="34"/>
              <w:jc w:val="both"/>
              <w:rPr>
                <w:rFonts w:ascii="Times New Roman" w:eastAsia="Times New Roman" w:hAnsi="Times New Roman" w:cs="Times New Roman"/>
                <w:sz w:val="20"/>
                <w:szCs w:val="24"/>
              </w:rPr>
            </w:pPr>
            <w:r w:rsidRPr="00BF5F53">
              <w:rPr>
                <w:rFonts w:ascii="Times New Roman" w:hAnsi="Times New Roman" w:cs="Times New Roman"/>
                <w:sz w:val="20"/>
                <w:szCs w:val="24"/>
              </w:rPr>
              <w:t>Indicator [255]</w:t>
            </w:r>
          </w:p>
        </w:tc>
        <w:tc>
          <w:tcPr>
            <w:tcW w:w="1418" w:type="dxa"/>
            <w:gridSpan w:val="3"/>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Measurement unit</w:t>
            </w:r>
          </w:p>
        </w:tc>
        <w:tc>
          <w:tcPr>
            <w:tcW w:w="1275" w:type="dxa"/>
            <w:gridSpan w:val="4"/>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Milestone (2024)</w:t>
            </w:r>
          </w:p>
        </w:tc>
        <w:tc>
          <w:tcPr>
            <w:tcW w:w="1135" w:type="dxa"/>
            <w:gridSpan w:val="4"/>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Target (2029)</w:t>
            </w:r>
          </w:p>
        </w:tc>
      </w:tr>
      <w:tr w:rsidR="009806F7" w:rsidRPr="00BF5F53" w:rsidTr="009806F7">
        <w:trPr>
          <w:gridAfter w:val="3"/>
          <w:wAfter w:w="2163" w:type="dxa"/>
        </w:trPr>
        <w:tc>
          <w:tcPr>
            <w:tcW w:w="110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70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B171B1">
            <w:pPr>
              <w:tabs>
                <w:tab w:val="left" w:pos="111"/>
              </w:tabs>
              <w:spacing w:after="0" w:line="240" w:lineRule="auto"/>
              <w:jc w:val="both"/>
              <w:rPr>
                <w:rFonts w:ascii="Times New Roman" w:eastAsia="Times New Roman" w:hAnsi="Times New Roman" w:cs="Times New Roman"/>
                <w:sz w:val="20"/>
                <w:szCs w:val="24"/>
                <w:lang w:eastAsia="lt-LT"/>
              </w:rPr>
            </w:pPr>
          </w:p>
        </w:tc>
        <w:tc>
          <w:tcPr>
            <w:tcW w:w="411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B171B1">
            <w:pPr>
              <w:spacing w:after="0" w:line="240" w:lineRule="auto"/>
              <w:ind w:left="34"/>
              <w:jc w:val="both"/>
              <w:rPr>
                <w:rFonts w:ascii="Times New Roman" w:eastAsia="Times New Roman" w:hAnsi="Times New Roman" w:cs="Times New Roman"/>
                <w:sz w:val="20"/>
                <w:szCs w:val="24"/>
                <w:lang w:eastAsia="lt-LT"/>
              </w:rPr>
            </w:pPr>
            <w:r w:rsidRPr="00BF5F53">
              <w:rPr>
                <w:rFonts w:ascii="Times New Roman" w:eastAsia="Times New Roman" w:hAnsi="Times New Roman" w:cs="Times New Roman"/>
                <w:sz w:val="20"/>
                <w:szCs w:val="24"/>
                <w:lang w:eastAsia="lt-LT"/>
              </w:rPr>
              <w:t>Number of participants in training activities</w:t>
            </w:r>
          </w:p>
        </w:tc>
        <w:tc>
          <w:tcPr>
            <w:tcW w:w="141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127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113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r>
      <w:tr w:rsidR="009806F7" w:rsidRPr="00BF5F53" w:rsidTr="009806F7">
        <w:trPr>
          <w:gridAfter w:val="3"/>
          <w:wAfter w:w="2163" w:type="dxa"/>
        </w:trPr>
        <w:tc>
          <w:tcPr>
            <w:tcW w:w="110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70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B171B1">
            <w:pPr>
              <w:tabs>
                <w:tab w:val="left" w:pos="111"/>
              </w:tabs>
              <w:spacing w:after="0" w:line="240" w:lineRule="auto"/>
              <w:jc w:val="both"/>
              <w:rPr>
                <w:rFonts w:ascii="Times New Roman" w:eastAsia="Times New Roman" w:hAnsi="Times New Roman" w:cs="Times New Roman"/>
                <w:sz w:val="20"/>
                <w:szCs w:val="24"/>
                <w:lang w:eastAsia="lt-LT"/>
              </w:rPr>
            </w:pPr>
          </w:p>
        </w:tc>
        <w:tc>
          <w:tcPr>
            <w:tcW w:w="411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B171B1">
            <w:pPr>
              <w:spacing w:after="0" w:line="240" w:lineRule="auto"/>
              <w:ind w:left="34"/>
              <w:jc w:val="both"/>
              <w:rPr>
                <w:rFonts w:ascii="Times New Roman" w:eastAsia="Times New Roman" w:hAnsi="Times New Roman" w:cs="Times New Roman"/>
                <w:sz w:val="20"/>
                <w:szCs w:val="24"/>
                <w:lang w:eastAsia="lt-LT"/>
              </w:rPr>
            </w:pPr>
            <w:r w:rsidRPr="00BF5F53">
              <w:rPr>
                <w:rFonts w:ascii="Times New Roman" w:eastAsia="Times New Roman" w:hAnsi="Times New Roman" w:cs="Times New Roman"/>
                <w:sz w:val="20"/>
                <w:szCs w:val="24"/>
                <w:lang w:eastAsia="lt-LT"/>
              </w:rPr>
              <w:t>Number of equipment /IT systems purchased</w:t>
            </w:r>
          </w:p>
        </w:tc>
        <w:tc>
          <w:tcPr>
            <w:tcW w:w="141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127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113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r>
      <w:tr w:rsidR="00D40709" w:rsidRPr="00BF5F53" w:rsidTr="009806F7">
        <w:trPr>
          <w:gridAfter w:val="3"/>
          <w:wAfter w:w="2163" w:type="dxa"/>
        </w:trPr>
        <w:tc>
          <w:tcPr>
            <w:tcW w:w="110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4"/>
                <w:lang w:eastAsia="lt-LT"/>
              </w:rPr>
            </w:pPr>
          </w:p>
        </w:tc>
        <w:tc>
          <w:tcPr>
            <w:tcW w:w="70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BF5F53"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p>
        </w:tc>
        <w:tc>
          <w:tcPr>
            <w:tcW w:w="411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BF5F53" w:rsidRDefault="009806F7" w:rsidP="00237FBD">
            <w:pPr>
              <w:spacing w:after="0" w:line="240" w:lineRule="auto"/>
              <w:ind w:left="34"/>
              <w:jc w:val="both"/>
              <w:rPr>
                <w:rFonts w:ascii="Times New Roman" w:eastAsia="Times New Roman" w:hAnsi="Times New Roman" w:cs="Times New Roman"/>
                <w:sz w:val="20"/>
                <w:szCs w:val="24"/>
                <w:lang w:eastAsia="lt-LT"/>
              </w:rPr>
            </w:pPr>
            <w:r w:rsidRPr="00BF5F53">
              <w:rPr>
                <w:rFonts w:ascii="Times New Roman" w:eastAsia="Times New Roman" w:hAnsi="Times New Roman" w:cs="Times New Roman"/>
                <w:sz w:val="20"/>
                <w:szCs w:val="24"/>
                <w:lang w:eastAsia="lt-LT"/>
              </w:rPr>
              <w:t>Number of returnees who received reintegration assistance</w:t>
            </w:r>
          </w:p>
        </w:tc>
        <w:tc>
          <w:tcPr>
            <w:tcW w:w="141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4"/>
                <w:lang w:eastAsia="lt-LT"/>
              </w:rPr>
            </w:pPr>
          </w:p>
        </w:tc>
        <w:tc>
          <w:tcPr>
            <w:tcW w:w="127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4"/>
                <w:lang w:eastAsia="lt-LT"/>
              </w:rPr>
            </w:pPr>
          </w:p>
        </w:tc>
        <w:tc>
          <w:tcPr>
            <w:tcW w:w="113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4"/>
                <w:lang w:eastAsia="lt-LT"/>
              </w:rPr>
            </w:pPr>
          </w:p>
        </w:tc>
      </w:tr>
      <w:tr w:rsidR="00D40709" w:rsidRPr="00BF5F53" w:rsidTr="009806F7">
        <w:trPr>
          <w:gridAfter w:val="6"/>
          <w:wAfter w:w="3062" w:type="dxa"/>
        </w:trPr>
        <w:tc>
          <w:tcPr>
            <w:tcW w:w="110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70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tabs>
                <w:tab w:val="left" w:pos="111"/>
              </w:tabs>
              <w:spacing w:after="0" w:line="240" w:lineRule="auto"/>
              <w:rPr>
                <w:rFonts w:ascii="Times New Roman" w:eastAsia="Times New Roman" w:hAnsi="Times New Roman" w:cs="Times New Roman"/>
                <w:sz w:val="20"/>
                <w:szCs w:val="24"/>
                <w:lang w:eastAsia="lt-LT"/>
              </w:rPr>
            </w:pPr>
          </w:p>
        </w:tc>
        <w:tc>
          <w:tcPr>
            <w:tcW w:w="411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141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127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23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r>
      <w:tr w:rsidR="00D40709" w:rsidRPr="00BF5F53" w:rsidTr="009806F7">
        <w:trPr>
          <w:gridAfter w:val="1"/>
          <w:wAfter w:w="285" w:type="dxa"/>
        </w:trPr>
        <w:tc>
          <w:tcPr>
            <w:tcW w:w="11625" w:type="dxa"/>
            <w:gridSpan w:val="21"/>
            <w:shd w:val="clear" w:color="auto" w:fill="auto"/>
            <w:tcMar>
              <w:top w:w="0" w:type="dxa"/>
              <w:left w:w="108" w:type="dxa"/>
              <w:bottom w:w="0" w:type="dxa"/>
              <w:right w:w="108" w:type="dxa"/>
            </w:tcMar>
            <w:hideMark/>
          </w:tcPr>
          <w:p w:rsidR="00D40709" w:rsidRPr="00BF5F53"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p>
          <w:p w:rsidR="0088411E" w:rsidRPr="00BF5F53" w:rsidRDefault="00D40709" w:rsidP="00237FBD">
            <w:pPr>
              <w:tabs>
                <w:tab w:val="left" w:pos="111"/>
              </w:tabs>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Table 2: Result indicators</w:t>
            </w:r>
          </w:p>
        </w:tc>
      </w:tr>
      <w:tr w:rsidR="00D40709" w:rsidRPr="00BF5F53" w:rsidTr="009806F7">
        <w:trPr>
          <w:gridAfter w:val="3"/>
          <w:wAfter w:w="2163" w:type="dxa"/>
        </w:trPr>
        <w:tc>
          <w:tcPr>
            <w:tcW w:w="11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Specific objective</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tabs>
                <w:tab w:val="left" w:pos="111"/>
              </w:tabs>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ID [5]</w:t>
            </w:r>
          </w:p>
        </w:tc>
        <w:tc>
          <w:tcPr>
            <w:tcW w:w="2269"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Indicator [255]</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Measurement unit</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Baseline or reference value</w:t>
            </w: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Reference year</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Target (2029)</w:t>
            </w: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Source of data [200]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0"/>
                <w:szCs w:val="24"/>
              </w:rPr>
            </w:pPr>
            <w:r w:rsidRPr="00BF5F53">
              <w:rPr>
                <w:rFonts w:ascii="Times New Roman" w:hAnsi="Times New Roman" w:cs="Times New Roman"/>
                <w:sz w:val="20"/>
                <w:szCs w:val="24"/>
              </w:rPr>
              <w:t>Comments [200]</w:t>
            </w:r>
          </w:p>
        </w:tc>
      </w:tr>
      <w:tr w:rsidR="009806F7" w:rsidRPr="00BF5F53" w:rsidTr="00B171B1">
        <w:trPr>
          <w:gridAfter w:val="3"/>
          <w:wAfter w:w="2163" w:type="dxa"/>
        </w:trPr>
        <w:tc>
          <w:tcPr>
            <w:tcW w:w="11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tabs>
                <w:tab w:val="left" w:pos="111"/>
              </w:tabs>
              <w:spacing w:after="0" w:line="240" w:lineRule="auto"/>
              <w:jc w:val="both"/>
              <w:rPr>
                <w:rFonts w:ascii="Times New Roman" w:eastAsia="Times New Roman" w:hAnsi="Times New Roman" w:cs="Times New Roman"/>
                <w:sz w:val="20"/>
                <w:szCs w:val="24"/>
                <w:lang w:eastAsia="lt-LT"/>
              </w:rPr>
            </w:pPr>
          </w:p>
        </w:tc>
        <w:tc>
          <w:tcPr>
            <w:tcW w:w="2269"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r w:rsidRPr="00BF5F53">
              <w:rPr>
                <w:rFonts w:ascii="Times New Roman" w:eastAsia="Times New Roman" w:hAnsi="Times New Roman" w:cs="Times New Roman"/>
                <w:sz w:val="20"/>
                <w:szCs w:val="24"/>
                <w:lang w:eastAsia="lt-LT"/>
              </w:rPr>
              <w:t>Number of places in detention centres created</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r>
      <w:tr w:rsidR="009806F7" w:rsidRPr="00BF5F53" w:rsidTr="00B171B1">
        <w:trPr>
          <w:gridAfter w:val="3"/>
          <w:wAfter w:w="2163" w:type="dxa"/>
        </w:trPr>
        <w:tc>
          <w:tcPr>
            <w:tcW w:w="11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tabs>
                <w:tab w:val="left" w:pos="111"/>
              </w:tabs>
              <w:spacing w:after="0" w:line="240" w:lineRule="auto"/>
              <w:jc w:val="both"/>
              <w:rPr>
                <w:rFonts w:ascii="Times New Roman" w:eastAsia="Times New Roman" w:hAnsi="Times New Roman" w:cs="Times New Roman"/>
                <w:sz w:val="20"/>
                <w:szCs w:val="24"/>
                <w:lang w:eastAsia="lt-LT"/>
              </w:rPr>
            </w:pPr>
          </w:p>
        </w:tc>
        <w:tc>
          <w:tcPr>
            <w:tcW w:w="2269"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r w:rsidRPr="00BF5F53">
              <w:rPr>
                <w:rFonts w:ascii="Times New Roman" w:eastAsia="Times New Roman" w:hAnsi="Times New Roman" w:cs="Times New Roman"/>
                <w:sz w:val="20"/>
                <w:szCs w:val="24"/>
                <w:lang w:eastAsia="lt-LT"/>
              </w:rPr>
              <w:t>Number of places in detention centres refurbished/ renovated</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r>
      <w:tr w:rsidR="009806F7" w:rsidRPr="00BF5F53" w:rsidTr="00B171B1">
        <w:trPr>
          <w:gridAfter w:val="3"/>
          <w:wAfter w:w="2163" w:type="dxa"/>
        </w:trPr>
        <w:tc>
          <w:tcPr>
            <w:tcW w:w="11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tabs>
                <w:tab w:val="left" w:pos="111"/>
              </w:tabs>
              <w:spacing w:after="0" w:line="240" w:lineRule="auto"/>
              <w:jc w:val="both"/>
              <w:rPr>
                <w:rFonts w:ascii="Times New Roman" w:eastAsia="Times New Roman" w:hAnsi="Times New Roman" w:cs="Times New Roman"/>
                <w:sz w:val="20"/>
                <w:szCs w:val="24"/>
                <w:lang w:eastAsia="lt-LT"/>
              </w:rPr>
            </w:pPr>
          </w:p>
        </w:tc>
        <w:tc>
          <w:tcPr>
            <w:tcW w:w="2269"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r w:rsidRPr="00BF5F53">
              <w:rPr>
                <w:rFonts w:ascii="Times New Roman" w:eastAsia="Times New Roman" w:hAnsi="Times New Roman" w:cs="Times New Roman"/>
                <w:sz w:val="20"/>
                <w:szCs w:val="24"/>
                <w:lang w:eastAsia="lt-LT"/>
              </w:rPr>
              <w:t>Number of returnees voluntarily returned</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r>
      <w:tr w:rsidR="009806F7" w:rsidRPr="00BF5F53" w:rsidTr="00B171B1">
        <w:trPr>
          <w:gridAfter w:val="3"/>
          <w:wAfter w:w="2163" w:type="dxa"/>
        </w:trPr>
        <w:tc>
          <w:tcPr>
            <w:tcW w:w="11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tabs>
                <w:tab w:val="left" w:pos="111"/>
              </w:tabs>
              <w:spacing w:after="0" w:line="240" w:lineRule="auto"/>
              <w:jc w:val="both"/>
              <w:rPr>
                <w:rFonts w:ascii="Times New Roman" w:eastAsia="Times New Roman" w:hAnsi="Times New Roman" w:cs="Times New Roman"/>
                <w:sz w:val="20"/>
                <w:szCs w:val="24"/>
                <w:lang w:eastAsia="lt-LT"/>
              </w:rPr>
            </w:pPr>
          </w:p>
        </w:tc>
        <w:tc>
          <w:tcPr>
            <w:tcW w:w="2269"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r w:rsidRPr="00BF5F53">
              <w:rPr>
                <w:rFonts w:ascii="Times New Roman" w:eastAsia="Times New Roman" w:hAnsi="Times New Roman" w:cs="Times New Roman"/>
                <w:sz w:val="20"/>
                <w:szCs w:val="24"/>
                <w:lang w:eastAsia="lt-LT"/>
              </w:rPr>
              <w:t>Number of returnees who were removed</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9806F7" w:rsidRPr="00BF5F53" w:rsidRDefault="009806F7" w:rsidP="00B171B1">
            <w:pPr>
              <w:spacing w:after="0" w:line="240" w:lineRule="auto"/>
              <w:jc w:val="both"/>
              <w:rPr>
                <w:rFonts w:ascii="Times New Roman" w:eastAsia="Times New Roman" w:hAnsi="Times New Roman" w:cs="Times New Roman"/>
                <w:sz w:val="20"/>
                <w:szCs w:val="24"/>
                <w:lang w:eastAsia="lt-LT"/>
              </w:rPr>
            </w:pPr>
          </w:p>
        </w:tc>
      </w:tr>
      <w:tr w:rsidR="00D40709" w:rsidRPr="00BF5F53" w:rsidTr="009806F7">
        <w:trPr>
          <w:gridAfter w:val="3"/>
          <w:wAfter w:w="2163" w:type="dxa"/>
        </w:trPr>
        <w:tc>
          <w:tcPr>
            <w:tcW w:w="11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4"/>
                <w:lang w:eastAsia="lt-LT"/>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tabs>
                <w:tab w:val="left" w:pos="111"/>
              </w:tabs>
              <w:spacing w:after="0" w:line="240" w:lineRule="auto"/>
              <w:jc w:val="both"/>
              <w:rPr>
                <w:rFonts w:ascii="Times New Roman" w:eastAsia="Times New Roman" w:hAnsi="Times New Roman" w:cs="Times New Roman"/>
                <w:sz w:val="20"/>
                <w:szCs w:val="24"/>
                <w:lang w:eastAsia="lt-LT"/>
              </w:rPr>
            </w:pPr>
          </w:p>
        </w:tc>
        <w:tc>
          <w:tcPr>
            <w:tcW w:w="2269"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9806F7" w:rsidP="00237FBD">
            <w:pPr>
              <w:spacing w:after="0" w:line="240" w:lineRule="auto"/>
              <w:jc w:val="both"/>
              <w:rPr>
                <w:rFonts w:ascii="Times New Roman" w:eastAsia="Times New Roman" w:hAnsi="Times New Roman" w:cs="Times New Roman"/>
                <w:sz w:val="20"/>
                <w:szCs w:val="24"/>
                <w:lang w:eastAsia="lt-LT"/>
              </w:rPr>
            </w:pPr>
            <w:r w:rsidRPr="00BF5F53">
              <w:rPr>
                <w:rFonts w:ascii="Times New Roman" w:eastAsia="Times New Roman" w:hAnsi="Times New Roman" w:cs="Times New Roman"/>
                <w:sz w:val="20"/>
                <w:szCs w:val="24"/>
                <w:lang w:eastAsia="lt-LT"/>
              </w:rPr>
              <w:t>Number of returnees subject to alternatives to detention</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4"/>
                <w:lang w:eastAsia="lt-LT"/>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4"/>
                <w:lang w:eastAsia="lt-LT"/>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4"/>
                <w:lang w:eastAsia="lt-LT"/>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4"/>
                <w:lang w:eastAsia="lt-LT"/>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4"/>
                <w:lang w:eastAsia="lt-LT"/>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D40709" w:rsidRPr="00BF5F53" w:rsidRDefault="00D40709" w:rsidP="00237FBD">
            <w:pPr>
              <w:spacing w:after="0" w:line="240" w:lineRule="auto"/>
              <w:jc w:val="both"/>
              <w:rPr>
                <w:rFonts w:ascii="Times New Roman" w:eastAsia="Times New Roman" w:hAnsi="Times New Roman" w:cs="Times New Roman"/>
                <w:sz w:val="20"/>
                <w:szCs w:val="24"/>
                <w:lang w:eastAsia="lt-LT"/>
              </w:rPr>
            </w:pPr>
          </w:p>
        </w:tc>
      </w:tr>
      <w:tr w:rsidR="00D40709" w:rsidRPr="00BF5F53" w:rsidTr="009806F7">
        <w:tc>
          <w:tcPr>
            <w:tcW w:w="1667" w:type="dxa"/>
            <w:gridSpan w:val="2"/>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661" w:type="dxa"/>
            <w:gridSpan w:val="2"/>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1324" w:type="dxa"/>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1559" w:type="dxa"/>
            <w:gridSpan w:val="2"/>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1417" w:type="dxa"/>
            <w:gridSpan w:val="3"/>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1134" w:type="dxa"/>
            <w:gridSpan w:val="3"/>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1706" w:type="dxa"/>
            <w:gridSpan w:val="5"/>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334" w:type="dxa"/>
            <w:gridSpan w:val="2"/>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c>
          <w:tcPr>
            <w:tcW w:w="2108" w:type="dxa"/>
            <w:gridSpan w:val="2"/>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0"/>
                <w:szCs w:val="24"/>
                <w:lang w:eastAsia="lt-LT"/>
              </w:rPr>
            </w:pPr>
          </w:p>
        </w:tc>
      </w:tr>
    </w:tbl>
    <w:p w:rsidR="00D40709" w:rsidRPr="00BF5F53" w:rsidRDefault="00D40709" w:rsidP="00D40709">
      <w:pPr>
        <w:spacing w:after="0" w:line="240" w:lineRule="auto"/>
        <w:jc w:val="both"/>
        <w:rPr>
          <w:rFonts w:ascii="Times New Roman" w:eastAsia="Times New Roman" w:hAnsi="Times New Roman" w:cs="Times New Roman"/>
          <w:sz w:val="24"/>
          <w:szCs w:val="24"/>
          <w:lang w:eastAsia="lt-LT"/>
        </w:rPr>
      </w:pPr>
    </w:p>
    <w:p w:rsidR="00D40709" w:rsidRPr="00BF5F53" w:rsidRDefault="00D40709" w:rsidP="00D40709">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2.3.3 Indicative breakdown of the programme resources (EU) by type of intervention</w:t>
      </w:r>
    </w:p>
    <w:p w:rsidR="00D40709" w:rsidRPr="009F1FCA" w:rsidRDefault="00D40709" w:rsidP="00D40709">
      <w:pPr>
        <w:spacing w:after="0" w:line="240" w:lineRule="auto"/>
        <w:jc w:val="both"/>
        <w:rPr>
          <w:rFonts w:ascii="Times New Roman" w:eastAsia="Times New Roman" w:hAnsi="Times New Roman" w:cs="Times New Roman"/>
          <w:i/>
          <w:sz w:val="24"/>
          <w:szCs w:val="24"/>
        </w:rPr>
      </w:pPr>
      <w:r w:rsidRPr="009F1FCA">
        <w:rPr>
          <w:rFonts w:ascii="Times New Roman" w:hAnsi="Times New Roman" w:cs="Times New Roman"/>
          <w:i/>
          <w:sz w:val="24"/>
          <w:szCs w:val="24"/>
        </w:rPr>
        <w:t>Reference: Article 17(5) and Article 10(16) of the BMVI Regulation or Article 10(9) of the ISF Regulation or Article 10(8) of the AMIF Regulation</w:t>
      </w:r>
    </w:p>
    <w:p w:rsidR="00D40709" w:rsidRPr="009F1FCA" w:rsidRDefault="00D40709" w:rsidP="00D40709">
      <w:pPr>
        <w:spacing w:after="0" w:line="240" w:lineRule="auto"/>
        <w:jc w:val="both"/>
        <w:rPr>
          <w:rFonts w:ascii="Times New Roman" w:eastAsia="Times New Roman" w:hAnsi="Times New Roman" w:cs="Times New Roman"/>
          <w:i/>
          <w:sz w:val="24"/>
          <w:szCs w:val="24"/>
          <w:lang w:eastAsia="lt-LT"/>
        </w:rPr>
      </w:pPr>
    </w:p>
    <w:tbl>
      <w:tblPr>
        <w:tblW w:w="9534" w:type="dxa"/>
        <w:tblCellMar>
          <w:left w:w="0" w:type="dxa"/>
          <w:right w:w="0" w:type="dxa"/>
        </w:tblCellMar>
        <w:tblLook w:val="04A0" w:firstRow="1" w:lastRow="0" w:firstColumn="1" w:lastColumn="0" w:noHBand="0" w:noVBand="1"/>
      </w:tblPr>
      <w:tblGrid>
        <w:gridCol w:w="2542"/>
        <w:gridCol w:w="2784"/>
        <w:gridCol w:w="904"/>
        <w:gridCol w:w="3304"/>
      </w:tblGrid>
      <w:tr w:rsidR="00D40709" w:rsidRPr="00BF5F53" w:rsidTr="00237FBD">
        <w:tc>
          <w:tcPr>
            <w:tcW w:w="953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Table 3</w:t>
            </w:r>
          </w:p>
        </w:tc>
      </w:tr>
      <w:tr w:rsidR="00D40709" w:rsidRPr="00BF5F53" w:rsidTr="00237FBD">
        <w:tc>
          <w:tcPr>
            <w:tcW w:w="203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Specific objective</w:t>
            </w:r>
          </w:p>
        </w:tc>
        <w:tc>
          <w:tcPr>
            <w:tcW w:w="222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Type of intervention</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Code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D40709" w:rsidP="00237FB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Indicative amount (Euro)</w:t>
            </w:r>
          </w:p>
        </w:tc>
      </w:tr>
      <w:tr w:rsidR="009806F7" w:rsidRPr="00BF5F53" w:rsidTr="00237FBD">
        <w:tc>
          <w:tcPr>
            <w:tcW w:w="203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237FBD">
            <w:pPr>
              <w:spacing w:after="0" w:line="240" w:lineRule="auto"/>
              <w:jc w:val="both"/>
              <w:rPr>
                <w:rFonts w:ascii="Times New Roman" w:hAnsi="Times New Roman" w:cs="Times New Roman"/>
                <w:sz w:val="24"/>
                <w:szCs w:val="24"/>
              </w:rPr>
            </w:pPr>
          </w:p>
        </w:tc>
        <w:tc>
          <w:tcPr>
            <w:tcW w:w="222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237FBD">
            <w:pPr>
              <w:spacing w:after="0" w:line="240" w:lineRule="auto"/>
              <w:jc w:val="both"/>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237FBD">
            <w:pPr>
              <w:spacing w:after="0" w:line="240" w:lineRule="auto"/>
              <w:jc w:val="both"/>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9806F7" w:rsidRPr="00BF5F53" w:rsidRDefault="009806F7" w:rsidP="00237FBD">
            <w:pPr>
              <w:spacing w:after="0" w:line="240" w:lineRule="auto"/>
              <w:jc w:val="both"/>
              <w:rPr>
                <w:rFonts w:ascii="Times New Roman" w:hAnsi="Times New Roman" w:cs="Times New Roman"/>
                <w:sz w:val="24"/>
                <w:szCs w:val="24"/>
              </w:rPr>
            </w:pPr>
          </w:p>
        </w:tc>
      </w:tr>
      <w:tr w:rsidR="00D40709" w:rsidRPr="00BF5F53" w:rsidTr="00237FBD">
        <w:tc>
          <w:tcPr>
            <w:tcW w:w="203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4"/>
                <w:szCs w:val="24"/>
                <w:lang w:eastAsia="lt-LT"/>
              </w:rPr>
            </w:pPr>
          </w:p>
        </w:tc>
        <w:tc>
          <w:tcPr>
            <w:tcW w:w="222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D40709" w:rsidRPr="00BF5F53" w:rsidRDefault="00D40709" w:rsidP="00237FBD">
            <w:pPr>
              <w:spacing w:after="0" w:line="240" w:lineRule="auto"/>
              <w:rPr>
                <w:rFonts w:ascii="Times New Roman" w:eastAsia="Times New Roman" w:hAnsi="Times New Roman" w:cs="Times New Roman"/>
                <w:sz w:val="24"/>
                <w:szCs w:val="24"/>
                <w:lang w:eastAsia="lt-LT"/>
              </w:rPr>
            </w:pPr>
          </w:p>
        </w:tc>
      </w:tr>
    </w:tbl>
    <w:p w:rsidR="009F1FCA" w:rsidRDefault="009F1FCA" w:rsidP="009F1FCA">
      <w:pPr>
        <w:spacing w:after="0" w:line="240" w:lineRule="auto"/>
        <w:jc w:val="both"/>
        <w:rPr>
          <w:rFonts w:ascii="Times New Roman" w:hAnsi="Times New Roman" w:cs="Times New Roman"/>
          <w:b/>
          <w:sz w:val="24"/>
          <w:szCs w:val="24"/>
        </w:rPr>
      </w:pPr>
    </w:p>
    <w:p w:rsidR="0088411E" w:rsidRPr="00BF5F53" w:rsidRDefault="0088411E" w:rsidP="009F1FCA">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1.2.</w:t>
      </w:r>
      <w:r w:rsidR="009F1FCA">
        <w:rPr>
          <w:rFonts w:ascii="Times New Roman" w:hAnsi="Times New Roman" w:cs="Times New Roman"/>
          <w:b/>
          <w:sz w:val="24"/>
          <w:szCs w:val="24"/>
        </w:rPr>
        <w:t xml:space="preserve"> </w:t>
      </w:r>
      <w:r w:rsidRPr="00BF5F53">
        <w:rPr>
          <w:rFonts w:ascii="Times New Roman" w:hAnsi="Times New Roman" w:cs="Times New Roman"/>
          <w:b/>
          <w:sz w:val="24"/>
          <w:szCs w:val="24"/>
        </w:rPr>
        <w:t>Technical assistance</w:t>
      </w:r>
    </w:p>
    <w:p w:rsidR="0088411E" w:rsidRPr="00BF5F53" w:rsidRDefault="0088411E" w:rsidP="0088411E">
      <w:pPr>
        <w:spacing w:after="0" w:line="240" w:lineRule="auto"/>
        <w:jc w:val="both"/>
        <w:rPr>
          <w:rFonts w:ascii="Times New Roman" w:eastAsia="Times New Roman" w:hAnsi="Times New Roman" w:cs="Times New Roman"/>
          <w:i/>
          <w:sz w:val="24"/>
          <w:szCs w:val="24"/>
        </w:rPr>
      </w:pPr>
      <w:r w:rsidRPr="00BF5F53">
        <w:rPr>
          <w:rFonts w:ascii="Times New Roman" w:hAnsi="Times New Roman" w:cs="Times New Roman"/>
          <w:i/>
          <w:sz w:val="24"/>
          <w:szCs w:val="24"/>
        </w:rPr>
        <w:t>Reference: Article 17(3</w:t>
      </w:r>
      <w:proofErr w:type="gramStart"/>
      <w:r w:rsidRPr="00BF5F53">
        <w:rPr>
          <w:rFonts w:ascii="Times New Roman" w:hAnsi="Times New Roman" w:cs="Times New Roman"/>
          <w:i/>
          <w:sz w:val="24"/>
          <w:szCs w:val="24"/>
        </w:rPr>
        <w:t>)(</w:t>
      </w:r>
      <w:proofErr w:type="gramEnd"/>
      <w:r w:rsidRPr="00BF5F53">
        <w:rPr>
          <w:rFonts w:ascii="Times New Roman" w:hAnsi="Times New Roman" w:cs="Times New Roman"/>
          <w:i/>
          <w:sz w:val="24"/>
          <w:szCs w:val="24"/>
        </w:rPr>
        <w:t>e); Article 30 CPR; Article 31 CPR; Article 89 CPR;</w:t>
      </w:r>
    </w:p>
    <w:tbl>
      <w:tblPr>
        <w:tblW w:w="9747" w:type="dxa"/>
        <w:tblCellMar>
          <w:left w:w="0" w:type="dxa"/>
          <w:right w:w="0" w:type="dxa"/>
        </w:tblCellMar>
        <w:tblLook w:val="04A0" w:firstRow="1" w:lastRow="0" w:firstColumn="1" w:lastColumn="0" w:noHBand="0" w:noVBand="1"/>
      </w:tblPr>
      <w:tblGrid>
        <w:gridCol w:w="9747"/>
      </w:tblGrid>
      <w:tr w:rsidR="0088411E" w:rsidRPr="00BF5F53" w:rsidTr="007F59AD">
        <w:tc>
          <w:tcPr>
            <w:tcW w:w="9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Text field [5 000] (Technical assistance under flat rate payments)</w:t>
            </w:r>
          </w:p>
        </w:tc>
      </w:tr>
      <w:tr w:rsidR="0088411E" w:rsidRPr="00BF5F53" w:rsidTr="007F59AD">
        <w:tc>
          <w:tcPr>
            <w:tcW w:w="9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Text field [3000] (Technical assistance under payments not linked to costs)</w:t>
            </w:r>
          </w:p>
        </w:tc>
      </w:tr>
    </w:tbl>
    <w:p w:rsidR="0088411E" w:rsidRPr="00BF5F53" w:rsidRDefault="0088411E" w:rsidP="0088411E">
      <w:pPr>
        <w:spacing w:after="0" w:line="240" w:lineRule="auto"/>
        <w:rPr>
          <w:rFonts w:ascii="Times New Roman" w:eastAsia="Times New Roman" w:hAnsi="Times New Roman" w:cs="Times New Roman"/>
          <w:vanish/>
          <w:sz w:val="24"/>
          <w:szCs w:val="24"/>
          <w:lang w:eastAsia="lt-LT"/>
        </w:rPr>
      </w:pPr>
    </w:p>
    <w:tbl>
      <w:tblPr>
        <w:tblW w:w="9747" w:type="dxa"/>
        <w:tblCellMar>
          <w:left w:w="0" w:type="dxa"/>
          <w:right w:w="0" w:type="dxa"/>
        </w:tblCellMar>
        <w:tblLook w:val="04A0" w:firstRow="1" w:lastRow="0" w:firstColumn="1" w:lastColumn="0" w:noHBand="0" w:noVBand="1"/>
      </w:tblPr>
      <w:tblGrid>
        <w:gridCol w:w="3475"/>
        <w:gridCol w:w="1148"/>
        <w:gridCol w:w="5124"/>
      </w:tblGrid>
      <w:tr w:rsidR="0088411E" w:rsidRPr="00BF5F53" w:rsidTr="007F59AD">
        <w:tc>
          <w:tcPr>
            <w:tcW w:w="974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7F59A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Table 5</w:t>
            </w:r>
          </w:p>
        </w:tc>
      </w:tr>
      <w:tr w:rsidR="0088411E" w:rsidRPr="00BF5F53" w:rsidTr="007F59AD">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7F59A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Type of intervention</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7F59A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Code</w:t>
            </w:r>
          </w:p>
        </w:tc>
        <w:tc>
          <w:tcPr>
            <w:tcW w:w="322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7F59A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Indicative amount (Euro)</w:t>
            </w:r>
          </w:p>
        </w:tc>
      </w:tr>
      <w:tr w:rsidR="0088411E" w:rsidRPr="00BF5F53" w:rsidTr="007F59AD">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322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r>
    </w:tbl>
    <w:p w:rsidR="007F59AD" w:rsidRPr="00BF5F53" w:rsidRDefault="007F59AD" w:rsidP="0088411E">
      <w:pPr>
        <w:spacing w:after="0" w:line="240" w:lineRule="auto"/>
        <w:ind w:left="468"/>
        <w:jc w:val="both"/>
        <w:rPr>
          <w:rFonts w:ascii="Times New Roman" w:eastAsia="Times New Roman" w:hAnsi="Times New Roman" w:cs="Times New Roman"/>
          <w:sz w:val="24"/>
          <w:szCs w:val="24"/>
          <w:lang w:eastAsia="lt-LT"/>
        </w:rPr>
      </w:pPr>
    </w:p>
    <w:p w:rsidR="0088411E" w:rsidRPr="00BF5F53" w:rsidRDefault="0088411E" w:rsidP="009F1FCA">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3.</w:t>
      </w:r>
      <w:r w:rsidR="009F1FCA">
        <w:rPr>
          <w:rFonts w:ascii="Times New Roman" w:hAnsi="Times New Roman" w:cs="Times New Roman"/>
          <w:b/>
          <w:sz w:val="24"/>
          <w:szCs w:val="24"/>
        </w:rPr>
        <w:t xml:space="preserve"> </w:t>
      </w:r>
      <w:r w:rsidRPr="00BF5F53">
        <w:rPr>
          <w:rFonts w:ascii="Times New Roman" w:hAnsi="Times New Roman" w:cs="Times New Roman"/>
          <w:b/>
          <w:sz w:val="24"/>
          <w:szCs w:val="24"/>
        </w:rPr>
        <w:t>Financial plan</w:t>
      </w:r>
    </w:p>
    <w:p w:rsidR="0088411E" w:rsidRPr="00BF5F53" w:rsidRDefault="0088411E" w:rsidP="0088411E">
      <w:pPr>
        <w:spacing w:after="0" w:line="240" w:lineRule="auto"/>
        <w:jc w:val="both"/>
        <w:rPr>
          <w:rFonts w:ascii="Times New Roman" w:eastAsia="Times New Roman" w:hAnsi="Times New Roman" w:cs="Times New Roman"/>
          <w:i/>
          <w:sz w:val="24"/>
          <w:szCs w:val="24"/>
        </w:rPr>
      </w:pPr>
      <w:r w:rsidRPr="00BF5F53">
        <w:rPr>
          <w:rFonts w:ascii="Times New Roman" w:hAnsi="Times New Roman" w:cs="Times New Roman"/>
          <w:i/>
          <w:sz w:val="24"/>
          <w:szCs w:val="24"/>
        </w:rPr>
        <w:t>Reference: Article 17(3</w:t>
      </w:r>
      <w:proofErr w:type="gramStart"/>
      <w:r w:rsidRPr="00BF5F53">
        <w:rPr>
          <w:rFonts w:ascii="Times New Roman" w:hAnsi="Times New Roman" w:cs="Times New Roman"/>
          <w:i/>
          <w:sz w:val="24"/>
          <w:szCs w:val="24"/>
        </w:rPr>
        <w:t>)(</w:t>
      </w:r>
      <w:proofErr w:type="gramEnd"/>
      <w:r w:rsidRPr="00BF5F53">
        <w:rPr>
          <w:rFonts w:ascii="Times New Roman" w:hAnsi="Times New Roman" w:cs="Times New Roman"/>
          <w:i/>
          <w:sz w:val="24"/>
          <w:szCs w:val="24"/>
        </w:rPr>
        <w:t>f)</w:t>
      </w:r>
    </w:p>
    <w:p w:rsidR="0088411E" w:rsidRPr="00BF5F53" w:rsidRDefault="0088411E" w:rsidP="0088411E">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3.1. Financial appropriations by year</w:t>
      </w:r>
    </w:p>
    <w:tbl>
      <w:tblPr>
        <w:tblW w:w="9747" w:type="dxa"/>
        <w:tblLayout w:type="fixed"/>
        <w:tblCellMar>
          <w:left w:w="0" w:type="dxa"/>
          <w:right w:w="0" w:type="dxa"/>
        </w:tblCellMar>
        <w:tblLook w:val="04A0" w:firstRow="1" w:lastRow="0" w:firstColumn="1" w:lastColumn="0" w:noHBand="0" w:noVBand="1"/>
      </w:tblPr>
      <w:tblGrid>
        <w:gridCol w:w="959"/>
        <w:gridCol w:w="992"/>
        <w:gridCol w:w="851"/>
        <w:gridCol w:w="992"/>
        <w:gridCol w:w="850"/>
        <w:gridCol w:w="993"/>
        <w:gridCol w:w="850"/>
        <w:gridCol w:w="992"/>
        <w:gridCol w:w="2268"/>
      </w:tblGrid>
      <w:tr w:rsidR="0088411E" w:rsidRPr="00BF5F53" w:rsidTr="00AC3BEB">
        <w:tc>
          <w:tcPr>
            <w:tcW w:w="9747"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7F59A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Table 6</w:t>
            </w:r>
          </w:p>
        </w:tc>
      </w:tr>
      <w:tr w:rsidR="00AC3BEB" w:rsidRPr="00BF5F53" w:rsidTr="00AC3BEB">
        <w:tc>
          <w:tcPr>
            <w:tcW w:w="9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7F59A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Fund</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7F59A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2021</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7F59A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2022</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7F59A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2023</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7F59A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2024</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7F59A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2025</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7F59A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2026</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7F59A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2027</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7F59AD">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Total</w:t>
            </w:r>
          </w:p>
        </w:tc>
      </w:tr>
      <w:tr w:rsidR="00AC3BEB" w:rsidRPr="00BF5F53" w:rsidTr="00AC3BEB">
        <w:tc>
          <w:tcPr>
            <w:tcW w:w="9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3BEB" w:rsidRPr="00BF5F53" w:rsidRDefault="00AC3BEB" w:rsidP="007F59AD">
            <w:pPr>
              <w:spacing w:after="0" w:line="240" w:lineRule="auto"/>
              <w:jc w:val="both"/>
              <w:rPr>
                <w:rFonts w:ascii="Times New Roman" w:eastAsia="Times New Roman" w:hAnsi="Times New Roman" w:cs="Times New Roman"/>
                <w:sz w:val="24"/>
                <w:szCs w:val="24"/>
                <w:lang w:eastAsia="lt-LT"/>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3BEB" w:rsidRPr="00BF5F53" w:rsidRDefault="00AC3BEB" w:rsidP="007F59AD">
            <w:pPr>
              <w:spacing w:after="0" w:line="240" w:lineRule="auto"/>
              <w:jc w:val="both"/>
              <w:rPr>
                <w:rFonts w:ascii="Times New Roman" w:eastAsia="Times New Roman" w:hAnsi="Times New Roman" w:cs="Times New Roman"/>
                <w:sz w:val="24"/>
                <w:szCs w:val="24"/>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3BEB" w:rsidRPr="00BF5F53" w:rsidRDefault="00AC3BEB" w:rsidP="007F59AD">
            <w:pPr>
              <w:spacing w:after="0" w:line="240" w:lineRule="auto"/>
              <w:jc w:val="both"/>
              <w:rPr>
                <w:rFonts w:ascii="Times New Roman" w:eastAsia="Times New Roman" w:hAnsi="Times New Roman" w:cs="Times New Roman"/>
                <w:sz w:val="24"/>
                <w:szCs w:val="24"/>
                <w:lang w:eastAsia="lt-LT"/>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3BEB" w:rsidRPr="00BF5F53" w:rsidRDefault="00AC3BEB" w:rsidP="007F59AD">
            <w:pPr>
              <w:spacing w:after="0" w:line="240" w:lineRule="auto"/>
              <w:jc w:val="both"/>
              <w:rPr>
                <w:rFonts w:ascii="Times New Roman" w:eastAsia="Times New Roman" w:hAnsi="Times New Roman" w:cs="Times New Roman"/>
                <w:sz w:val="24"/>
                <w:szCs w:val="24"/>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3BEB" w:rsidRPr="00BF5F53" w:rsidRDefault="00AC3BEB" w:rsidP="007F59AD">
            <w:pPr>
              <w:spacing w:after="0" w:line="240" w:lineRule="auto"/>
              <w:jc w:val="both"/>
              <w:rPr>
                <w:rFonts w:ascii="Times New Roman" w:eastAsia="Times New Roman" w:hAnsi="Times New Roman" w:cs="Times New Roman"/>
                <w:sz w:val="24"/>
                <w:szCs w:val="24"/>
                <w:lang w:eastAsia="lt-LT"/>
              </w:rPr>
            </w:pP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3BEB" w:rsidRPr="00BF5F53" w:rsidRDefault="00AC3BEB" w:rsidP="007F59AD">
            <w:pPr>
              <w:spacing w:after="0" w:line="240" w:lineRule="auto"/>
              <w:jc w:val="both"/>
              <w:rPr>
                <w:rFonts w:ascii="Times New Roman" w:eastAsia="Times New Roman" w:hAnsi="Times New Roman" w:cs="Times New Roman"/>
                <w:sz w:val="24"/>
                <w:szCs w:val="24"/>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3BEB" w:rsidRPr="00BF5F53" w:rsidRDefault="00AC3BEB" w:rsidP="007F59AD">
            <w:pPr>
              <w:spacing w:after="0" w:line="240" w:lineRule="auto"/>
              <w:jc w:val="both"/>
              <w:rPr>
                <w:rFonts w:ascii="Times New Roman" w:eastAsia="Times New Roman" w:hAnsi="Times New Roman" w:cs="Times New Roman"/>
                <w:sz w:val="24"/>
                <w:szCs w:val="24"/>
                <w:lang w:eastAsia="lt-LT"/>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3BEB" w:rsidRPr="00BF5F53" w:rsidRDefault="00AC3BEB" w:rsidP="007F59AD">
            <w:pPr>
              <w:spacing w:after="0" w:line="240" w:lineRule="auto"/>
              <w:jc w:val="both"/>
              <w:rPr>
                <w:rFonts w:ascii="Times New Roman" w:eastAsia="Times New Roman" w:hAnsi="Times New Roman" w:cs="Times New Roman"/>
                <w:sz w:val="24"/>
                <w:szCs w:val="24"/>
                <w:lang w:eastAsia="lt-LT"/>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3BEB" w:rsidRPr="00BF5F53" w:rsidRDefault="00AC3BEB" w:rsidP="007F59AD">
            <w:pPr>
              <w:spacing w:after="0" w:line="240" w:lineRule="auto"/>
              <w:jc w:val="both"/>
              <w:rPr>
                <w:rFonts w:ascii="Times New Roman" w:eastAsia="Times New Roman" w:hAnsi="Times New Roman" w:cs="Times New Roman"/>
                <w:sz w:val="24"/>
                <w:szCs w:val="24"/>
                <w:lang w:eastAsia="lt-LT"/>
              </w:rPr>
            </w:pPr>
          </w:p>
        </w:tc>
      </w:tr>
    </w:tbl>
    <w:p w:rsidR="00AC3BEB" w:rsidRPr="00BF5F53" w:rsidRDefault="00AC3BEB" w:rsidP="0088411E">
      <w:pPr>
        <w:spacing w:after="0" w:line="240" w:lineRule="auto"/>
        <w:jc w:val="both"/>
        <w:rPr>
          <w:rFonts w:ascii="Times New Roman" w:eastAsia="Times New Roman" w:hAnsi="Times New Roman" w:cs="Times New Roman"/>
          <w:sz w:val="24"/>
          <w:szCs w:val="24"/>
          <w:lang w:eastAsia="lt-LT"/>
        </w:rPr>
      </w:pPr>
    </w:p>
    <w:p w:rsidR="0088411E" w:rsidRPr="00BF5F53" w:rsidRDefault="0088411E" w:rsidP="0088411E">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3.2 Total financial appropriations from the Fund and national co-financing</w:t>
      </w:r>
    </w:p>
    <w:p w:rsidR="0088411E" w:rsidRPr="00BF5F53" w:rsidRDefault="0088411E" w:rsidP="0088411E">
      <w:pPr>
        <w:spacing w:after="0" w:line="240" w:lineRule="auto"/>
        <w:jc w:val="both"/>
        <w:rPr>
          <w:rFonts w:ascii="Times New Roman" w:eastAsia="Times New Roman" w:hAnsi="Times New Roman" w:cs="Times New Roman"/>
          <w:i/>
          <w:sz w:val="24"/>
          <w:szCs w:val="24"/>
        </w:rPr>
      </w:pPr>
      <w:r w:rsidRPr="00BF5F53">
        <w:rPr>
          <w:rFonts w:ascii="Times New Roman" w:hAnsi="Times New Roman" w:cs="Times New Roman"/>
          <w:i/>
          <w:sz w:val="24"/>
          <w:szCs w:val="24"/>
        </w:rPr>
        <w:t>Reference: Article 17(3</w:t>
      </w:r>
      <w:proofErr w:type="gramStart"/>
      <w:r w:rsidRPr="00BF5F53">
        <w:rPr>
          <w:rFonts w:ascii="Times New Roman" w:hAnsi="Times New Roman" w:cs="Times New Roman"/>
          <w:i/>
          <w:sz w:val="24"/>
          <w:szCs w:val="24"/>
        </w:rPr>
        <w:t>)(</w:t>
      </w:r>
      <w:proofErr w:type="gramEnd"/>
      <w:r w:rsidRPr="00BF5F53">
        <w:rPr>
          <w:rFonts w:ascii="Times New Roman" w:hAnsi="Times New Roman" w:cs="Times New Roman"/>
          <w:i/>
          <w:sz w:val="24"/>
          <w:szCs w:val="24"/>
        </w:rPr>
        <w:t>f) (iv)</w:t>
      </w:r>
    </w:p>
    <w:tbl>
      <w:tblPr>
        <w:tblW w:w="9747" w:type="dxa"/>
        <w:tblLayout w:type="fixed"/>
        <w:tblCellMar>
          <w:left w:w="0" w:type="dxa"/>
          <w:right w:w="0" w:type="dxa"/>
        </w:tblCellMar>
        <w:tblLook w:val="04A0" w:firstRow="1" w:lastRow="0" w:firstColumn="1" w:lastColumn="0" w:noHBand="0" w:noVBand="1"/>
      </w:tblPr>
      <w:tblGrid>
        <w:gridCol w:w="1101"/>
        <w:gridCol w:w="1559"/>
        <w:gridCol w:w="1417"/>
        <w:gridCol w:w="709"/>
        <w:gridCol w:w="1134"/>
        <w:gridCol w:w="851"/>
        <w:gridCol w:w="850"/>
        <w:gridCol w:w="851"/>
        <w:gridCol w:w="1275"/>
      </w:tblGrid>
      <w:tr w:rsidR="0088411E" w:rsidRPr="00BF5F53" w:rsidTr="00974397">
        <w:tc>
          <w:tcPr>
            <w:tcW w:w="9747"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Table 7</w:t>
            </w:r>
          </w:p>
        </w:tc>
      </w:tr>
      <w:tr w:rsidR="00974397" w:rsidRPr="00BF5F53"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rPr>
                <w:rFonts w:ascii="Times New Roman" w:eastAsia="Times New Roman" w:hAnsi="Times New Roman" w:cs="Times New Roman"/>
                <w:sz w:val="20"/>
                <w:szCs w:val="20"/>
              </w:rPr>
            </w:pPr>
            <w:r w:rsidRPr="00BF5F53">
              <w:rPr>
                <w:rFonts w:ascii="Times New Roman" w:hAnsi="Times New Roman" w:cs="Times New Roman"/>
                <w:sz w:val="20"/>
                <w:szCs w:val="20"/>
              </w:rPr>
              <w:t>Specific objective</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Type of action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Basis for calculation EU support (total or public)</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EU contribution (a)</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National contribution (b)=(c)+(d)</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Indicative breakdown of national contribution</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Total</w:t>
            </w:r>
          </w:p>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e=(a)+(b)</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Co-financing rate (f)=(a)/(e)</w:t>
            </w:r>
          </w:p>
        </w:tc>
      </w:tr>
      <w:tr w:rsidR="00974397" w:rsidRPr="00BF5F53"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public (c )</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private (d)</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r>
      <w:tr w:rsidR="00974397" w:rsidRPr="00BF5F53"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Specific objective 1</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Type of action no 1 [Reference to Article 8(1) of AMIF/ISF/BMVI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r>
      <w:tr w:rsidR="00974397" w:rsidRPr="00BF5F53"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Type of action no 2 [Reference to Article 8(2) of AMIF/ISF/BMVI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r>
      <w:tr w:rsidR="00974397" w:rsidRPr="00BF5F53"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Type of action no 3 [Reference to Article 8(3) and 8(4) of AMIF/ISF/BMVI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r>
      <w:tr w:rsidR="00974397" w:rsidRPr="00BF5F53"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 xml:space="preserve">Type of action </w:t>
            </w:r>
            <w:r w:rsidRPr="00BF5F53">
              <w:rPr>
                <w:rFonts w:ascii="Times New Roman" w:hAnsi="Times New Roman" w:cs="Times New Roman"/>
                <w:sz w:val="20"/>
                <w:szCs w:val="20"/>
              </w:rPr>
              <w:lastRenderedPageBreak/>
              <w:t>no 4 [Reference to Article 14 and 15 of AMIF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r>
      <w:tr w:rsidR="00974397" w:rsidRPr="00BF5F53"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lastRenderedPageBreak/>
              <w:t>Total for SO 1</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r>
      <w:tr w:rsidR="00974397" w:rsidRPr="00BF5F53"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SO 2</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Type of action no 1 [Reference to Article 8(1) of AMIF/ISF/BMVI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r>
      <w:tr w:rsidR="00974397" w:rsidRPr="00BF5F53"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Type of action no 2 [Reference to Article 8(2) of AMIF/ISF/BMVI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r>
      <w:tr w:rsidR="00974397" w:rsidRPr="00BF5F53"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Type of action no 3 [Reference to Article 8(3) and 8(4) of AMIF/ISF/BMVI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r>
      <w:tr w:rsidR="00974397" w:rsidRPr="00BF5F53"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Total for SO 2</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r>
      <w:tr w:rsidR="00974397" w:rsidRPr="00BF5F53"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SO 3</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Type of action no 1 [Reference to Article 8(1) of AMIF/ISF/BMVI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r>
      <w:tr w:rsidR="00974397" w:rsidRPr="00BF5F53"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Type of action no 2 [Reference to Article 8(2) of AMIF/ISF/BMVI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r>
      <w:tr w:rsidR="00974397" w:rsidRPr="00BF5F53"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Type of action no 3 [Reference to Article 8(3) and 8(4) of AMIF/ISF/BMVI Regulation]</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r>
      <w:tr w:rsidR="00974397" w:rsidRPr="00BF5F53"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Total for SO 3</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r>
      <w:tr w:rsidR="00974397" w:rsidRPr="00BF5F53"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TA (Art 30 CPR)</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r>
      <w:tr w:rsidR="00974397" w:rsidRPr="00BF5F53"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TA (Art 31 CPR)</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r>
      <w:tr w:rsidR="00974397" w:rsidRPr="00BF5F53" w:rsidTr="00974397">
        <w:tc>
          <w:tcPr>
            <w:tcW w:w="11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jc w:val="both"/>
              <w:rPr>
                <w:rFonts w:ascii="Times New Roman" w:eastAsia="Times New Roman" w:hAnsi="Times New Roman" w:cs="Times New Roman"/>
                <w:sz w:val="20"/>
                <w:szCs w:val="20"/>
              </w:rPr>
            </w:pPr>
            <w:r w:rsidRPr="00BF5F53">
              <w:rPr>
                <w:rFonts w:ascii="Times New Roman" w:hAnsi="Times New Roman" w:cs="Times New Roman"/>
                <w:sz w:val="20"/>
                <w:szCs w:val="20"/>
              </w:rPr>
              <w:t>Grand total</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AC3BEB">
            <w:pPr>
              <w:spacing w:after="0" w:line="240" w:lineRule="auto"/>
              <w:rPr>
                <w:rFonts w:ascii="Times New Roman" w:eastAsia="Times New Roman" w:hAnsi="Times New Roman" w:cs="Times New Roman"/>
                <w:sz w:val="20"/>
                <w:szCs w:val="20"/>
                <w:lang w:eastAsia="lt-LT"/>
              </w:rPr>
            </w:pPr>
          </w:p>
        </w:tc>
      </w:tr>
    </w:tbl>
    <w:p w:rsidR="0088411E" w:rsidRPr="00BF5F53" w:rsidRDefault="0088411E" w:rsidP="0088411E">
      <w:pPr>
        <w:spacing w:after="0" w:line="240" w:lineRule="auto"/>
        <w:rPr>
          <w:rFonts w:ascii="Times New Roman" w:eastAsia="Times New Roman" w:hAnsi="Times New Roman" w:cs="Times New Roman"/>
          <w:vanish/>
          <w:sz w:val="24"/>
          <w:szCs w:val="24"/>
          <w:lang w:eastAsia="lt-LT"/>
        </w:rPr>
      </w:pPr>
    </w:p>
    <w:tbl>
      <w:tblPr>
        <w:tblW w:w="9761" w:type="dxa"/>
        <w:tblCellMar>
          <w:left w:w="0" w:type="dxa"/>
          <w:right w:w="0" w:type="dxa"/>
        </w:tblCellMar>
        <w:tblLook w:val="04A0" w:firstRow="1" w:lastRow="0" w:firstColumn="1" w:lastColumn="0" w:noHBand="0" w:noVBand="1"/>
      </w:tblPr>
      <w:tblGrid>
        <w:gridCol w:w="1949"/>
        <w:gridCol w:w="971"/>
        <w:gridCol w:w="880"/>
        <w:gridCol w:w="989"/>
        <w:gridCol w:w="1131"/>
        <w:gridCol w:w="1134"/>
        <w:gridCol w:w="1134"/>
        <w:gridCol w:w="1559"/>
        <w:gridCol w:w="14"/>
      </w:tblGrid>
      <w:tr w:rsidR="00BF5F53" w:rsidRPr="00BF5F53" w:rsidTr="00BF5F53">
        <w:trPr>
          <w:gridAfter w:val="1"/>
        </w:trPr>
        <w:tc>
          <w:tcPr>
            <w:tcW w:w="1949" w:type="dxa"/>
            <w:tcBorders>
              <w:bottom w:val="single" w:sz="4" w:space="0" w:color="auto"/>
            </w:tcBorders>
            <w:shd w:val="clear" w:color="auto" w:fill="auto"/>
            <w:tcMar>
              <w:top w:w="0" w:type="dxa"/>
              <w:left w:w="108" w:type="dxa"/>
              <w:bottom w:w="0" w:type="dxa"/>
              <w:right w:w="108" w:type="dxa"/>
            </w:tcMar>
          </w:tcPr>
          <w:p w:rsidR="00BF5F53" w:rsidRPr="00BF5F53" w:rsidRDefault="00BF5F53" w:rsidP="00974397">
            <w:pPr>
              <w:spacing w:after="0" w:line="240" w:lineRule="auto"/>
              <w:jc w:val="both"/>
              <w:rPr>
                <w:rFonts w:ascii="Times New Roman" w:hAnsi="Times New Roman" w:cs="Times New Roman"/>
                <w:sz w:val="24"/>
                <w:szCs w:val="24"/>
              </w:rPr>
            </w:pPr>
          </w:p>
        </w:tc>
        <w:tc>
          <w:tcPr>
            <w:tcW w:w="7798" w:type="dxa"/>
            <w:gridSpan w:val="7"/>
            <w:tcBorders>
              <w:bottom w:val="single" w:sz="4" w:space="0" w:color="auto"/>
            </w:tcBorders>
            <w:shd w:val="clear" w:color="auto" w:fill="auto"/>
            <w:tcMar>
              <w:top w:w="0" w:type="dxa"/>
              <w:left w:w="108" w:type="dxa"/>
              <w:bottom w:w="0" w:type="dxa"/>
              <w:right w:w="108" w:type="dxa"/>
            </w:tcMar>
          </w:tcPr>
          <w:p w:rsidR="00BF5F53" w:rsidRPr="00BF5F53" w:rsidRDefault="00BF5F53" w:rsidP="00974397">
            <w:pPr>
              <w:spacing w:after="0" w:line="240" w:lineRule="auto"/>
              <w:jc w:val="both"/>
              <w:rPr>
                <w:rFonts w:ascii="Times New Roman" w:hAnsi="Times New Roman" w:cs="Times New Roman"/>
                <w:sz w:val="24"/>
                <w:szCs w:val="24"/>
              </w:rPr>
            </w:pPr>
          </w:p>
        </w:tc>
      </w:tr>
      <w:tr w:rsidR="0088411E" w:rsidRPr="00BF5F53" w:rsidTr="00BF5F53">
        <w:trPr>
          <w:gridAfter w:val="1"/>
        </w:trPr>
        <w:tc>
          <w:tcPr>
            <w:tcW w:w="1949"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Table 8 [AMIF only]</w:t>
            </w:r>
          </w:p>
        </w:tc>
        <w:tc>
          <w:tcPr>
            <w:tcW w:w="7798" w:type="dxa"/>
            <w:gridSpan w:val="7"/>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Number of persons per year</w:t>
            </w:r>
          </w:p>
        </w:tc>
      </w:tr>
      <w:tr w:rsidR="00974397" w:rsidRPr="00BF5F53" w:rsidTr="00974397">
        <w:tc>
          <w:tcPr>
            <w:tcW w:w="194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Category</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2021</w:t>
            </w:r>
          </w:p>
        </w:tc>
        <w:tc>
          <w:tcPr>
            <w:tcW w:w="8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2022</w:t>
            </w:r>
          </w:p>
        </w:tc>
        <w:tc>
          <w:tcPr>
            <w:tcW w:w="98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2023</w:t>
            </w:r>
          </w:p>
        </w:tc>
        <w:tc>
          <w:tcPr>
            <w:tcW w:w="113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2024</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2025</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2026</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2027</w:t>
            </w:r>
          </w:p>
        </w:tc>
        <w:tc>
          <w:tcPr>
            <w:tcW w:w="0" w:type="auto"/>
            <w:shd w:val="clear" w:color="auto" w:fill="auto"/>
            <w:vAlign w:val="center"/>
            <w:hideMark/>
          </w:tcPr>
          <w:p w:rsidR="0088411E" w:rsidRPr="00BF5F53" w:rsidRDefault="0088411E" w:rsidP="00974397">
            <w:pPr>
              <w:spacing w:after="0" w:line="240" w:lineRule="auto"/>
              <w:rPr>
                <w:rFonts w:ascii="Times New Roman" w:eastAsia="Times New Roman" w:hAnsi="Times New Roman" w:cs="Times New Roman"/>
                <w:sz w:val="20"/>
                <w:szCs w:val="20"/>
                <w:lang w:eastAsia="lt-LT"/>
              </w:rPr>
            </w:pPr>
          </w:p>
        </w:tc>
      </w:tr>
      <w:tr w:rsidR="00974397" w:rsidRPr="00BF5F53" w:rsidTr="00974397">
        <w:tc>
          <w:tcPr>
            <w:tcW w:w="194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Resettlement</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8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98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113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0" w:type="auto"/>
            <w:shd w:val="clear" w:color="auto" w:fill="auto"/>
            <w:vAlign w:val="center"/>
            <w:hideMark/>
          </w:tcPr>
          <w:p w:rsidR="0088411E" w:rsidRPr="00BF5F53" w:rsidRDefault="0088411E" w:rsidP="0088411E">
            <w:pPr>
              <w:spacing w:after="0" w:line="240" w:lineRule="auto"/>
              <w:rPr>
                <w:rFonts w:ascii="Times New Roman" w:eastAsia="Times New Roman" w:hAnsi="Times New Roman" w:cs="Times New Roman"/>
                <w:sz w:val="20"/>
                <w:szCs w:val="20"/>
                <w:lang w:eastAsia="lt-LT"/>
              </w:rPr>
            </w:pPr>
          </w:p>
        </w:tc>
      </w:tr>
      <w:tr w:rsidR="00974397" w:rsidRPr="00BF5F53" w:rsidTr="00974397">
        <w:tc>
          <w:tcPr>
            <w:tcW w:w="194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 xml:space="preserve">Humanitarian </w:t>
            </w:r>
            <w:r w:rsidRPr="00BF5F53">
              <w:rPr>
                <w:rFonts w:ascii="Times New Roman" w:hAnsi="Times New Roman" w:cs="Times New Roman"/>
                <w:sz w:val="24"/>
                <w:szCs w:val="24"/>
              </w:rPr>
              <w:lastRenderedPageBreak/>
              <w:t>admission</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8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98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113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0" w:type="auto"/>
            <w:shd w:val="clear" w:color="auto" w:fill="auto"/>
            <w:vAlign w:val="center"/>
            <w:hideMark/>
          </w:tcPr>
          <w:p w:rsidR="0088411E" w:rsidRPr="00BF5F53" w:rsidRDefault="0088411E" w:rsidP="0088411E">
            <w:pPr>
              <w:spacing w:after="0" w:line="240" w:lineRule="auto"/>
              <w:rPr>
                <w:rFonts w:ascii="Times New Roman" w:eastAsia="Times New Roman" w:hAnsi="Times New Roman" w:cs="Times New Roman"/>
                <w:sz w:val="20"/>
                <w:szCs w:val="20"/>
                <w:lang w:eastAsia="lt-LT"/>
              </w:rPr>
            </w:pPr>
          </w:p>
        </w:tc>
      </w:tr>
      <w:tr w:rsidR="00974397" w:rsidRPr="00BF5F53" w:rsidTr="00974397">
        <w:tc>
          <w:tcPr>
            <w:tcW w:w="194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lastRenderedPageBreak/>
              <w:t>[other categories]</w:t>
            </w:r>
          </w:p>
        </w:tc>
        <w:tc>
          <w:tcPr>
            <w:tcW w:w="97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88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98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113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88411E">
            <w:pPr>
              <w:spacing w:after="0" w:line="240" w:lineRule="auto"/>
              <w:rPr>
                <w:rFonts w:ascii="Times New Roman" w:eastAsia="Times New Roman" w:hAnsi="Times New Roman" w:cs="Times New Roman"/>
                <w:sz w:val="24"/>
                <w:szCs w:val="24"/>
                <w:lang w:eastAsia="lt-LT"/>
              </w:rPr>
            </w:pPr>
          </w:p>
        </w:tc>
        <w:tc>
          <w:tcPr>
            <w:tcW w:w="0" w:type="auto"/>
            <w:shd w:val="clear" w:color="auto" w:fill="auto"/>
            <w:vAlign w:val="center"/>
            <w:hideMark/>
          </w:tcPr>
          <w:p w:rsidR="0088411E" w:rsidRPr="00BF5F53" w:rsidRDefault="0088411E" w:rsidP="0088411E">
            <w:pPr>
              <w:spacing w:after="0" w:line="240" w:lineRule="auto"/>
              <w:rPr>
                <w:rFonts w:ascii="Times New Roman" w:eastAsia="Times New Roman" w:hAnsi="Times New Roman" w:cs="Times New Roman"/>
                <w:sz w:val="20"/>
                <w:szCs w:val="20"/>
                <w:lang w:eastAsia="lt-LT"/>
              </w:rPr>
            </w:pPr>
          </w:p>
        </w:tc>
      </w:tr>
    </w:tbl>
    <w:p w:rsidR="00974397" w:rsidRPr="00BF5F53" w:rsidRDefault="00974397" w:rsidP="0088411E">
      <w:pPr>
        <w:spacing w:after="0" w:line="240" w:lineRule="auto"/>
        <w:ind w:left="468"/>
        <w:jc w:val="both"/>
        <w:rPr>
          <w:rFonts w:ascii="Times New Roman" w:eastAsia="Times New Roman" w:hAnsi="Times New Roman" w:cs="Times New Roman"/>
          <w:sz w:val="24"/>
          <w:szCs w:val="24"/>
          <w:lang w:eastAsia="lt-LT"/>
        </w:rPr>
      </w:pPr>
    </w:p>
    <w:p w:rsidR="0088411E" w:rsidRPr="00BF5F53" w:rsidRDefault="0088411E" w:rsidP="0088411E">
      <w:pPr>
        <w:spacing w:after="0" w:line="240" w:lineRule="auto"/>
        <w:ind w:left="468"/>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4. Enabling conditions</w:t>
      </w:r>
    </w:p>
    <w:p w:rsidR="0088411E" w:rsidRPr="00BF5F53" w:rsidRDefault="0088411E" w:rsidP="0088411E">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Reference: Article 17(3)(h)</w:t>
      </w:r>
    </w:p>
    <w:tbl>
      <w:tblPr>
        <w:tblW w:w="9837" w:type="dxa"/>
        <w:tblCellMar>
          <w:left w:w="0" w:type="dxa"/>
          <w:right w:w="0" w:type="dxa"/>
        </w:tblCellMar>
        <w:tblLook w:val="04A0" w:firstRow="1" w:lastRow="0" w:firstColumn="1" w:lastColumn="0" w:noHBand="0" w:noVBand="1"/>
      </w:tblPr>
      <w:tblGrid>
        <w:gridCol w:w="1242"/>
        <w:gridCol w:w="1418"/>
        <w:gridCol w:w="1605"/>
        <w:gridCol w:w="1230"/>
        <w:gridCol w:w="2952"/>
        <w:gridCol w:w="1390"/>
      </w:tblGrid>
      <w:tr w:rsidR="0088411E" w:rsidRPr="00BF5F53" w:rsidTr="00974397">
        <w:tc>
          <w:tcPr>
            <w:tcW w:w="983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Table 9</w:t>
            </w:r>
          </w:p>
        </w:tc>
      </w:tr>
      <w:tr w:rsidR="0088411E" w:rsidRPr="00BF5F53" w:rsidTr="00974397">
        <w:tc>
          <w:tcPr>
            <w:tcW w:w="124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Enabling condition</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Fulfilment of enabling condition</w:t>
            </w:r>
          </w:p>
        </w:tc>
        <w:tc>
          <w:tcPr>
            <w:tcW w:w="16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Criteria</w:t>
            </w: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Fulfilment of criteria</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Reference to relevant documents</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Justification</w:t>
            </w:r>
          </w:p>
        </w:tc>
      </w:tr>
      <w:tr w:rsidR="0088411E" w:rsidRPr="00BF5F53" w:rsidTr="00974397">
        <w:tc>
          <w:tcPr>
            <w:tcW w:w="124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rPr>
                <w:rFonts w:ascii="Times New Roman" w:eastAsia="Times New Roman" w:hAnsi="Times New Roman" w:cs="Times New Roman"/>
                <w:sz w:val="24"/>
                <w:szCs w:val="24"/>
                <w:lang w:eastAsia="lt-LT"/>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rPr>
                <w:rFonts w:ascii="Times New Roman" w:eastAsia="Times New Roman" w:hAnsi="Times New Roman" w:cs="Times New Roman"/>
                <w:sz w:val="24"/>
                <w:szCs w:val="24"/>
                <w:lang w:eastAsia="lt-LT"/>
              </w:rPr>
            </w:pPr>
          </w:p>
        </w:tc>
        <w:tc>
          <w:tcPr>
            <w:tcW w:w="16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Criterion 1</w:t>
            </w: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Y/N</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[500]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[1000]</w:t>
            </w:r>
          </w:p>
        </w:tc>
      </w:tr>
      <w:tr w:rsidR="0088411E" w:rsidRPr="00BF5F53" w:rsidTr="00974397">
        <w:tc>
          <w:tcPr>
            <w:tcW w:w="1242"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rPr>
                <w:rFonts w:ascii="Times New Roman" w:eastAsia="Times New Roman" w:hAnsi="Times New Roman" w:cs="Times New Roman"/>
                <w:sz w:val="24"/>
                <w:szCs w:val="24"/>
                <w:lang w:eastAsia="lt-LT"/>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rPr>
                <w:rFonts w:ascii="Times New Roman" w:eastAsia="Times New Roman" w:hAnsi="Times New Roman" w:cs="Times New Roman"/>
                <w:sz w:val="24"/>
                <w:szCs w:val="24"/>
                <w:lang w:eastAsia="lt-LT"/>
              </w:rPr>
            </w:pPr>
          </w:p>
        </w:tc>
        <w:tc>
          <w:tcPr>
            <w:tcW w:w="16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Criterion 2</w:t>
            </w: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rPr>
                <w:rFonts w:ascii="Times New Roman" w:eastAsia="Times New Roman" w:hAnsi="Times New Roman" w:cs="Times New Roman"/>
                <w:sz w:val="24"/>
                <w:szCs w:val="24"/>
                <w:lang w:eastAsia="lt-LT"/>
              </w:rPr>
            </w:pPr>
          </w:p>
        </w:tc>
      </w:tr>
    </w:tbl>
    <w:p w:rsidR="00974397" w:rsidRPr="00BF5F53" w:rsidRDefault="00974397" w:rsidP="0088411E">
      <w:pPr>
        <w:spacing w:after="0" w:line="240" w:lineRule="auto"/>
        <w:ind w:left="468"/>
        <w:jc w:val="both"/>
        <w:rPr>
          <w:rFonts w:ascii="Times New Roman" w:eastAsia="Times New Roman" w:hAnsi="Times New Roman" w:cs="Times New Roman"/>
          <w:sz w:val="24"/>
          <w:szCs w:val="24"/>
          <w:lang w:eastAsia="lt-LT"/>
        </w:rPr>
      </w:pPr>
    </w:p>
    <w:p w:rsidR="0088411E" w:rsidRPr="00BF5F53" w:rsidRDefault="0088411E" w:rsidP="009F1FCA">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5.</w:t>
      </w:r>
      <w:r w:rsidR="009F1FCA">
        <w:rPr>
          <w:rFonts w:ascii="Times New Roman" w:hAnsi="Times New Roman" w:cs="Times New Roman"/>
          <w:b/>
          <w:sz w:val="24"/>
          <w:szCs w:val="24"/>
        </w:rPr>
        <w:t xml:space="preserve"> </w:t>
      </w:r>
      <w:r w:rsidRPr="00BF5F53">
        <w:rPr>
          <w:rFonts w:ascii="Times New Roman" w:hAnsi="Times New Roman" w:cs="Times New Roman"/>
          <w:b/>
          <w:sz w:val="24"/>
          <w:szCs w:val="24"/>
        </w:rPr>
        <w:t>Pro</w:t>
      </w:r>
      <w:bookmarkStart w:id="0" w:name="_GoBack"/>
      <w:bookmarkEnd w:id="0"/>
      <w:r w:rsidRPr="00BF5F53">
        <w:rPr>
          <w:rFonts w:ascii="Times New Roman" w:hAnsi="Times New Roman" w:cs="Times New Roman"/>
          <w:b/>
          <w:sz w:val="24"/>
          <w:szCs w:val="24"/>
        </w:rPr>
        <w:t>gramme authorities</w:t>
      </w:r>
    </w:p>
    <w:p w:rsidR="0088411E" w:rsidRPr="009F1FCA" w:rsidRDefault="0088411E" w:rsidP="0088411E">
      <w:pPr>
        <w:spacing w:after="0" w:line="240" w:lineRule="auto"/>
        <w:jc w:val="both"/>
        <w:rPr>
          <w:rFonts w:ascii="Times New Roman" w:eastAsia="Times New Roman" w:hAnsi="Times New Roman" w:cs="Times New Roman"/>
          <w:i/>
          <w:sz w:val="24"/>
          <w:szCs w:val="24"/>
        </w:rPr>
      </w:pPr>
      <w:r w:rsidRPr="009F1FCA">
        <w:rPr>
          <w:rFonts w:ascii="Times New Roman" w:hAnsi="Times New Roman" w:cs="Times New Roman"/>
          <w:i/>
          <w:sz w:val="24"/>
          <w:szCs w:val="24"/>
        </w:rPr>
        <w:t>Reference: Article 17(3</w:t>
      </w:r>
      <w:proofErr w:type="gramStart"/>
      <w:r w:rsidRPr="009F1FCA">
        <w:rPr>
          <w:rFonts w:ascii="Times New Roman" w:hAnsi="Times New Roman" w:cs="Times New Roman"/>
          <w:i/>
          <w:sz w:val="24"/>
          <w:szCs w:val="24"/>
        </w:rPr>
        <w:t>)(</w:t>
      </w:r>
      <w:proofErr w:type="gramEnd"/>
      <w:r w:rsidRPr="009F1FCA">
        <w:rPr>
          <w:rFonts w:ascii="Times New Roman" w:hAnsi="Times New Roman" w:cs="Times New Roman"/>
          <w:i/>
          <w:sz w:val="24"/>
          <w:szCs w:val="24"/>
        </w:rPr>
        <w:t>j); Article 65 and 78 CPR</w:t>
      </w:r>
    </w:p>
    <w:tbl>
      <w:tblPr>
        <w:tblW w:w="9889" w:type="dxa"/>
        <w:tblCellMar>
          <w:left w:w="0" w:type="dxa"/>
          <w:right w:w="0" w:type="dxa"/>
        </w:tblCellMar>
        <w:tblLook w:val="04A0" w:firstRow="1" w:lastRow="0" w:firstColumn="1" w:lastColumn="0" w:noHBand="0" w:noVBand="1"/>
      </w:tblPr>
      <w:tblGrid>
        <w:gridCol w:w="2660"/>
        <w:gridCol w:w="2741"/>
        <w:gridCol w:w="2967"/>
        <w:gridCol w:w="1521"/>
      </w:tblGrid>
      <w:tr w:rsidR="0088411E" w:rsidRPr="00BF5F53" w:rsidTr="00974397">
        <w:tc>
          <w:tcPr>
            <w:tcW w:w="2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Table 10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Name of the institution [500]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Contact name and position [200]</w:t>
            </w: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e-mail [200]</w:t>
            </w:r>
          </w:p>
        </w:tc>
      </w:tr>
      <w:tr w:rsidR="0088411E" w:rsidRPr="00BF5F53" w:rsidTr="00974397">
        <w:tc>
          <w:tcPr>
            <w:tcW w:w="2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Managing authority</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rPr>
                <w:rFonts w:ascii="Times New Roman" w:eastAsia="Times New Roman" w:hAnsi="Times New Roman" w:cs="Times New Roman"/>
                <w:sz w:val="24"/>
                <w:szCs w:val="24"/>
                <w:lang w:eastAsia="lt-LT"/>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rPr>
                <w:rFonts w:ascii="Times New Roman" w:eastAsia="Times New Roman" w:hAnsi="Times New Roman" w:cs="Times New Roman"/>
                <w:sz w:val="24"/>
                <w:szCs w:val="24"/>
                <w:lang w:eastAsia="lt-LT"/>
              </w:rPr>
            </w:pPr>
          </w:p>
        </w:tc>
      </w:tr>
      <w:tr w:rsidR="0088411E" w:rsidRPr="00BF5F53" w:rsidTr="00974397">
        <w:tc>
          <w:tcPr>
            <w:tcW w:w="2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Audit authority</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rPr>
                <w:rFonts w:ascii="Times New Roman" w:eastAsia="Times New Roman" w:hAnsi="Times New Roman" w:cs="Times New Roman"/>
                <w:sz w:val="24"/>
                <w:szCs w:val="24"/>
                <w:lang w:eastAsia="lt-LT"/>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rPr>
                <w:rFonts w:ascii="Times New Roman" w:eastAsia="Times New Roman" w:hAnsi="Times New Roman" w:cs="Times New Roman"/>
                <w:sz w:val="24"/>
                <w:szCs w:val="24"/>
                <w:lang w:eastAsia="lt-LT"/>
              </w:rPr>
            </w:pPr>
          </w:p>
        </w:tc>
      </w:tr>
      <w:tr w:rsidR="0088411E" w:rsidRPr="00BF5F53" w:rsidTr="00974397">
        <w:tc>
          <w:tcPr>
            <w:tcW w:w="26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jc w:val="both"/>
              <w:rPr>
                <w:rFonts w:ascii="Times New Roman" w:eastAsia="Times New Roman" w:hAnsi="Times New Roman" w:cs="Times New Roman"/>
                <w:sz w:val="24"/>
                <w:szCs w:val="24"/>
              </w:rPr>
            </w:pPr>
            <w:r w:rsidRPr="00BF5F53">
              <w:rPr>
                <w:rFonts w:ascii="Times New Roman" w:hAnsi="Times New Roman" w:cs="Times New Roman"/>
                <w:sz w:val="24"/>
                <w:szCs w:val="24"/>
              </w:rPr>
              <w:t>Body which receives payments from the Commission</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rPr>
                <w:rFonts w:ascii="Times New Roman" w:eastAsia="Times New Roman" w:hAnsi="Times New Roman" w:cs="Times New Roman"/>
                <w:sz w:val="24"/>
                <w:szCs w:val="24"/>
                <w:lang w:eastAsia="lt-LT"/>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rPr>
                <w:rFonts w:ascii="Times New Roman" w:eastAsia="Times New Roman" w:hAnsi="Times New Roman" w:cs="Times New Roman"/>
                <w:sz w:val="24"/>
                <w:szCs w:val="24"/>
                <w:lang w:eastAsia="lt-LT"/>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88411E" w:rsidRPr="00BF5F53" w:rsidRDefault="0088411E" w:rsidP="00974397">
            <w:pPr>
              <w:spacing w:after="0" w:line="240" w:lineRule="auto"/>
              <w:rPr>
                <w:rFonts w:ascii="Times New Roman" w:eastAsia="Times New Roman" w:hAnsi="Times New Roman" w:cs="Times New Roman"/>
                <w:sz w:val="24"/>
                <w:szCs w:val="24"/>
                <w:lang w:eastAsia="lt-LT"/>
              </w:rPr>
            </w:pPr>
          </w:p>
        </w:tc>
      </w:tr>
    </w:tbl>
    <w:p w:rsidR="00974397" w:rsidRPr="00BF5F53" w:rsidRDefault="00974397" w:rsidP="0088411E">
      <w:pPr>
        <w:spacing w:after="0" w:line="240" w:lineRule="auto"/>
        <w:ind w:left="468"/>
        <w:jc w:val="both"/>
        <w:rPr>
          <w:rFonts w:ascii="Times New Roman" w:eastAsia="Times New Roman" w:hAnsi="Times New Roman" w:cs="Times New Roman"/>
          <w:sz w:val="24"/>
          <w:szCs w:val="24"/>
          <w:lang w:eastAsia="lt-LT"/>
        </w:rPr>
      </w:pPr>
    </w:p>
    <w:p w:rsidR="0088411E" w:rsidRPr="00BF5F53" w:rsidRDefault="0088411E" w:rsidP="009F1FCA">
      <w:pPr>
        <w:spacing w:after="0" w:line="240" w:lineRule="auto"/>
        <w:jc w:val="both"/>
        <w:rPr>
          <w:rFonts w:ascii="Times New Roman" w:eastAsia="Times New Roman" w:hAnsi="Times New Roman" w:cs="Times New Roman"/>
          <w:b/>
          <w:sz w:val="24"/>
          <w:szCs w:val="24"/>
        </w:rPr>
      </w:pPr>
      <w:r w:rsidRPr="00BF5F53">
        <w:rPr>
          <w:rFonts w:ascii="Times New Roman" w:hAnsi="Times New Roman" w:cs="Times New Roman"/>
          <w:b/>
          <w:sz w:val="24"/>
          <w:szCs w:val="24"/>
        </w:rPr>
        <w:t>6.</w:t>
      </w:r>
      <w:r w:rsidR="009F1FCA">
        <w:rPr>
          <w:rFonts w:ascii="Times New Roman" w:hAnsi="Times New Roman" w:cs="Times New Roman"/>
          <w:b/>
          <w:sz w:val="24"/>
          <w:szCs w:val="24"/>
        </w:rPr>
        <w:t xml:space="preserve"> </w:t>
      </w:r>
      <w:r w:rsidRPr="00BF5F53">
        <w:rPr>
          <w:rFonts w:ascii="Times New Roman" w:hAnsi="Times New Roman" w:cs="Times New Roman"/>
          <w:b/>
          <w:sz w:val="24"/>
          <w:szCs w:val="24"/>
        </w:rPr>
        <w:t>Partnership</w:t>
      </w:r>
    </w:p>
    <w:p w:rsidR="0088411E" w:rsidRPr="009F1FCA" w:rsidRDefault="0088411E" w:rsidP="0088411E">
      <w:pPr>
        <w:spacing w:after="0" w:line="240" w:lineRule="auto"/>
        <w:jc w:val="both"/>
        <w:rPr>
          <w:rFonts w:ascii="Times New Roman" w:eastAsia="Times New Roman" w:hAnsi="Times New Roman" w:cs="Times New Roman"/>
          <w:i/>
          <w:sz w:val="24"/>
          <w:szCs w:val="24"/>
        </w:rPr>
      </w:pPr>
      <w:r w:rsidRPr="009F1FCA">
        <w:rPr>
          <w:rFonts w:ascii="Times New Roman" w:hAnsi="Times New Roman" w:cs="Times New Roman"/>
          <w:i/>
          <w:sz w:val="24"/>
          <w:szCs w:val="24"/>
        </w:rPr>
        <w:t>Reference: Article 17(3</w:t>
      </w:r>
      <w:proofErr w:type="gramStart"/>
      <w:r w:rsidRPr="009F1FCA">
        <w:rPr>
          <w:rFonts w:ascii="Times New Roman" w:hAnsi="Times New Roman" w:cs="Times New Roman"/>
          <w:i/>
          <w:sz w:val="24"/>
          <w:szCs w:val="24"/>
        </w:rPr>
        <w:t>)(</w:t>
      </w:r>
      <w:proofErr w:type="gramEnd"/>
      <w:r w:rsidRPr="009F1FCA">
        <w:rPr>
          <w:rFonts w:ascii="Times New Roman" w:hAnsi="Times New Roman" w:cs="Times New Roman"/>
          <w:i/>
          <w:sz w:val="24"/>
          <w:szCs w:val="24"/>
        </w:rPr>
        <w:t>g);</w:t>
      </w:r>
    </w:p>
    <w:tbl>
      <w:tblPr>
        <w:tblW w:w="9889" w:type="dxa"/>
        <w:tblCellMar>
          <w:left w:w="0" w:type="dxa"/>
          <w:right w:w="0" w:type="dxa"/>
        </w:tblCellMar>
        <w:tblLook w:val="04A0" w:firstRow="1" w:lastRow="0" w:firstColumn="1" w:lastColumn="0" w:noHBand="0" w:noVBand="1"/>
      </w:tblPr>
      <w:tblGrid>
        <w:gridCol w:w="9889"/>
      </w:tblGrid>
      <w:tr w:rsidR="009F1FCA" w:rsidRPr="009F1FCA" w:rsidTr="00974397">
        <w:tc>
          <w:tcPr>
            <w:tcW w:w="988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rsidR="00974397" w:rsidRPr="009F1FCA" w:rsidRDefault="00974397" w:rsidP="00974397">
            <w:pPr>
              <w:spacing w:after="0" w:line="240" w:lineRule="auto"/>
              <w:jc w:val="both"/>
              <w:rPr>
                <w:rFonts w:ascii="Times New Roman" w:eastAsia="Times New Roman" w:hAnsi="Times New Roman" w:cs="Times New Roman"/>
                <w:color w:val="000000" w:themeColor="text1"/>
                <w:sz w:val="24"/>
                <w:szCs w:val="24"/>
              </w:rPr>
            </w:pPr>
            <w:r w:rsidRPr="009F1FCA">
              <w:rPr>
                <w:rFonts w:ascii="Times New Roman" w:hAnsi="Times New Roman" w:cs="Times New Roman"/>
                <w:color w:val="000000" w:themeColor="text1"/>
                <w:sz w:val="24"/>
                <w:szCs w:val="24"/>
              </w:rPr>
              <w:t>The programme featured meetings with institutions, social and economic partners, as well as current applicants, on all issues regarding the fund’s investment possibilities. The 4th quarter of 2019 marked the presentation of Lithuania’s progress in the fields of asylum, migration and deportation, involvement of non-governmental organisations and institutions, responsible for various areas of their competence, as well as an invitation to the society. The 1st quarter of 2020 featured meetings with partners and institutions on narrower issues (asylum system, labour market, integration services, deportation system, issues of illegal labour, etc.). The project of the programme has been submitted to appropriate institutions, non-governmental and international organisations, operating in Lithuania, academic community, also the AMIF monitoring committee for 2014-2020, which includes partnering institutions and partners. Synergy with investments from the European Social Fund and European Regional Development Fund is ensured by taking part at the meetings of the funds’ management institutions, making suggestions and providing information on further AMIF investments.</w:t>
            </w:r>
          </w:p>
          <w:p w:rsidR="00974397" w:rsidRPr="009F1FCA" w:rsidRDefault="00974397" w:rsidP="00974397">
            <w:pPr>
              <w:spacing w:after="0" w:line="240" w:lineRule="auto"/>
              <w:jc w:val="both"/>
              <w:rPr>
                <w:rFonts w:ascii="Times New Roman" w:eastAsia="Times New Roman" w:hAnsi="Times New Roman" w:cs="Times New Roman"/>
                <w:color w:val="000000" w:themeColor="text1"/>
                <w:sz w:val="24"/>
                <w:szCs w:val="24"/>
                <w:lang w:eastAsia="lt-LT"/>
              </w:rPr>
            </w:pPr>
          </w:p>
          <w:p w:rsidR="0088411E" w:rsidRPr="009F1FCA" w:rsidRDefault="00974397" w:rsidP="00974397">
            <w:pPr>
              <w:spacing w:after="0" w:line="240" w:lineRule="auto"/>
              <w:jc w:val="both"/>
              <w:rPr>
                <w:rFonts w:ascii="Times New Roman" w:eastAsia="Times New Roman" w:hAnsi="Times New Roman" w:cs="Times New Roman"/>
                <w:color w:val="000000" w:themeColor="text1"/>
                <w:sz w:val="24"/>
                <w:szCs w:val="24"/>
              </w:rPr>
            </w:pPr>
            <w:r w:rsidRPr="009F1FCA">
              <w:rPr>
                <w:rFonts w:ascii="Times New Roman" w:hAnsi="Times New Roman" w:cs="Times New Roman"/>
                <w:color w:val="000000" w:themeColor="text1"/>
                <w:sz w:val="24"/>
                <w:szCs w:val="24"/>
              </w:rPr>
              <w:t>The role of partners in the implementation of this programme remains as relevant as ever. The Monitoring Committee will continue to include all necessary partners. When specific arrangements are made for calls for proposal applications and project selection criteria, the projects are published for public comments and submitted to the Monitoring Committee. The annual performance report is coordinated with the Monitoring Committee every year as well. In 2021-2027, additional efforts will be focused on ensuring the involvement of the National Courts Administration, the Lithuanian Bar Association, employer and employee organisations, also strengthening the competencies and involvement of the representatives and organisations of the target groups.</w:t>
            </w:r>
          </w:p>
        </w:tc>
      </w:tr>
    </w:tbl>
    <w:p w:rsidR="00BF5F53" w:rsidRPr="009F1FCA" w:rsidRDefault="00BF5F53" w:rsidP="0088411E">
      <w:pPr>
        <w:shd w:val="clear" w:color="auto" w:fill="FFFFFF"/>
        <w:spacing w:after="0" w:line="240" w:lineRule="auto"/>
        <w:ind w:left="468"/>
        <w:jc w:val="both"/>
        <w:rPr>
          <w:rFonts w:ascii="Times New Roman" w:hAnsi="Times New Roman" w:cs="Times New Roman"/>
          <w:b/>
          <w:color w:val="000000" w:themeColor="text1"/>
          <w:sz w:val="27"/>
          <w:szCs w:val="27"/>
        </w:rPr>
      </w:pPr>
    </w:p>
    <w:p w:rsidR="0088411E" w:rsidRPr="009F1FCA" w:rsidRDefault="0088411E" w:rsidP="009F1FCA">
      <w:pPr>
        <w:shd w:val="clear" w:color="auto" w:fill="FFFFFF"/>
        <w:spacing w:after="0" w:line="240" w:lineRule="auto"/>
        <w:jc w:val="both"/>
        <w:rPr>
          <w:rFonts w:ascii="Times New Roman" w:eastAsia="Times New Roman" w:hAnsi="Times New Roman" w:cs="Times New Roman"/>
          <w:b/>
          <w:color w:val="000000" w:themeColor="text1"/>
          <w:sz w:val="24"/>
          <w:szCs w:val="24"/>
        </w:rPr>
      </w:pPr>
      <w:r w:rsidRPr="009F1FCA">
        <w:rPr>
          <w:rFonts w:ascii="Times New Roman" w:hAnsi="Times New Roman" w:cs="Times New Roman"/>
          <w:b/>
          <w:color w:val="000000" w:themeColor="text1"/>
          <w:sz w:val="24"/>
          <w:szCs w:val="24"/>
        </w:rPr>
        <w:t>7.</w:t>
      </w:r>
      <w:r w:rsidR="00BF5F53" w:rsidRPr="009F1FCA">
        <w:rPr>
          <w:rFonts w:ascii="Times New Roman" w:hAnsi="Times New Roman" w:cs="Times New Roman"/>
          <w:b/>
          <w:color w:val="000000" w:themeColor="text1"/>
          <w:sz w:val="24"/>
          <w:szCs w:val="24"/>
        </w:rPr>
        <w:t xml:space="preserve"> </w:t>
      </w:r>
      <w:r w:rsidRPr="009F1FCA">
        <w:rPr>
          <w:rFonts w:ascii="Times New Roman" w:hAnsi="Times New Roman" w:cs="Times New Roman"/>
          <w:b/>
          <w:color w:val="000000" w:themeColor="text1"/>
          <w:sz w:val="24"/>
          <w:szCs w:val="24"/>
        </w:rPr>
        <w:t>Communication and visibility</w:t>
      </w:r>
    </w:p>
    <w:p w:rsidR="0088411E" w:rsidRPr="009F1FCA" w:rsidRDefault="0088411E" w:rsidP="0088411E">
      <w:pPr>
        <w:shd w:val="clear" w:color="auto" w:fill="FFFFFF"/>
        <w:spacing w:after="0" w:line="240" w:lineRule="auto"/>
        <w:jc w:val="both"/>
        <w:rPr>
          <w:rFonts w:ascii="Times New Roman" w:eastAsia="Times New Roman" w:hAnsi="Times New Roman" w:cs="Times New Roman"/>
          <w:i/>
          <w:color w:val="000000" w:themeColor="text1"/>
          <w:sz w:val="24"/>
          <w:szCs w:val="24"/>
        </w:rPr>
      </w:pPr>
      <w:r w:rsidRPr="009F1FCA">
        <w:rPr>
          <w:rFonts w:ascii="Times New Roman" w:hAnsi="Times New Roman" w:cs="Times New Roman"/>
          <w:i/>
          <w:color w:val="000000" w:themeColor="text1"/>
          <w:sz w:val="24"/>
          <w:szCs w:val="24"/>
        </w:rPr>
        <w:t>Reference: Article 17(3)</w:t>
      </w:r>
      <w:r w:rsidR="00BF5F53" w:rsidRPr="009F1FCA">
        <w:rPr>
          <w:rFonts w:ascii="Times New Roman" w:hAnsi="Times New Roman" w:cs="Times New Roman"/>
          <w:i/>
          <w:color w:val="000000" w:themeColor="text1"/>
          <w:sz w:val="24"/>
          <w:szCs w:val="24"/>
        </w:rPr>
        <w:t xml:space="preserve"> </w:t>
      </w:r>
      <w:r w:rsidRPr="009F1FCA">
        <w:rPr>
          <w:rFonts w:ascii="Times New Roman" w:hAnsi="Times New Roman" w:cs="Times New Roman"/>
          <w:i/>
          <w:color w:val="000000" w:themeColor="text1"/>
          <w:sz w:val="24"/>
          <w:szCs w:val="24"/>
        </w:rPr>
        <w:t>(i) CPR, Article 42(2)</w:t>
      </w:r>
    </w:p>
    <w:tbl>
      <w:tblPr>
        <w:tblW w:w="9747" w:type="dxa"/>
        <w:shd w:val="clear" w:color="auto" w:fill="FFFFFF"/>
        <w:tblCellMar>
          <w:left w:w="0" w:type="dxa"/>
          <w:right w:w="0" w:type="dxa"/>
        </w:tblCellMar>
        <w:tblLook w:val="04A0" w:firstRow="1" w:lastRow="0" w:firstColumn="1" w:lastColumn="0" w:noHBand="0" w:noVBand="1"/>
      </w:tblPr>
      <w:tblGrid>
        <w:gridCol w:w="9747"/>
      </w:tblGrid>
      <w:tr w:rsidR="009F1FCA" w:rsidRPr="009F1FCA" w:rsidTr="00D40709">
        <w:tc>
          <w:tcPr>
            <w:tcW w:w="97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88411E" w:rsidRPr="009F1FCA" w:rsidRDefault="00D40709" w:rsidP="00D40709">
            <w:pPr>
              <w:spacing w:after="0" w:line="240" w:lineRule="auto"/>
              <w:jc w:val="both"/>
              <w:rPr>
                <w:rFonts w:ascii="Times New Roman" w:eastAsia="Times New Roman" w:hAnsi="Times New Roman" w:cs="Times New Roman"/>
                <w:color w:val="000000" w:themeColor="text1"/>
                <w:sz w:val="24"/>
                <w:szCs w:val="24"/>
              </w:rPr>
            </w:pPr>
            <w:r w:rsidRPr="009F1FCA">
              <w:rPr>
                <w:rFonts w:ascii="Times New Roman" w:hAnsi="Times New Roman" w:cs="Times New Roman"/>
                <w:color w:val="000000" w:themeColor="text1"/>
                <w:sz w:val="24"/>
                <w:szCs w:val="24"/>
              </w:rPr>
              <w:lastRenderedPageBreak/>
              <w:t>The processes of informing and publication take place on two levels: The responsible institution is responsible for the means of information and publication on the programme level, approving annual communication plans, providing information on the implementation of the national AMIF programme to institutions, the Monitoring Committee, applicants, project managers, the society, etc. The authorised institution and project managers are responsible for the means of information and publication on the project level. The authorised institution organises and implements activities, related to publication and informing applicants, project managers and the society. Project managers also implement information and publication activities using posters, other means of information, publications, articles in the media, etc. All means of information and publication must be marked with the EU emblem with a reference to the EU funding and other mandatory signs. These activities will be supplemented with project activities, focused on changing public attitudes towards third country citizens (particularly asylum seekers and receivers), as well as the development of intercultural competencies of employers, education and health care experts, journalists and lawyers. This will contribute to the EU migration policy, in particular – the awareness about the AMIF initiatives in Lithuania.</w:t>
            </w:r>
          </w:p>
        </w:tc>
      </w:tr>
    </w:tbl>
    <w:p w:rsidR="0088411E" w:rsidRPr="009F1FCA" w:rsidRDefault="0088411E" w:rsidP="0088411E">
      <w:pPr>
        <w:shd w:val="clear" w:color="auto" w:fill="FFFFFF"/>
        <w:spacing w:after="0" w:line="240" w:lineRule="auto"/>
        <w:jc w:val="both"/>
        <w:rPr>
          <w:rFonts w:ascii="Times New Roman" w:eastAsia="Times New Roman" w:hAnsi="Times New Roman" w:cs="Times New Roman"/>
          <w:color w:val="000000" w:themeColor="text1"/>
          <w:sz w:val="24"/>
          <w:szCs w:val="24"/>
          <w:lang w:eastAsia="lt-LT"/>
        </w:rPr>
      </w:pPr>
    </w:p>
    <w:p w:rsidR="009F1FCA" w:rsidRPr="009F1FCA" w:rsidRDefault="0088411E" w:rsidP="0088411E">
      <w:pPr>
        <w:shd w:val="clear" w:color="auto" w:fill="FFFFFF"/>
        <w:spacing w:after="0" w:line="240" w:lineRule="auto"/>
        <w:jc w:val="both"/>
        <w:rPr>
          <w:rFonts w:ascii="Times New Roman" w:eastAsia="Times New Roman" w:hAnsi="Times New Roman" w:cs="Times New Roman"/>
          <w:b/>
          <w:color w:val="000000" w:themeColor="text1"/>
          <w:sz w:val="24"/>
          <w:szCs w:val="24"/>
        </w:rPr>
      </w:pPr>
      <w:r w:rsidRPr="009F1FCA">
        <w:rPr>
          <w:rFonts w:ascii="Times New Roman" w:hAnsi="Times New Roman" w:cs="Times New Roman"/>
          <w:b/>
          <w:color w:val="000000" w:themeColor="text1"/>
          <w:sz w:val="24"/>
          <w:szCs w:val="24"/>
        </w:rPr>
        <w:t>8.</w:t>
      </w:r>
      <w:r w:rsidR="00BF5F53" w:rsidRPr="009F1FCA">
        <w:rPr>
          <w:rFonts w:ascii="Times New Roman" w:hAnsi="Times New Roman" w:cs="Times New Roman"/>
          <w:b/>
          <w:color w:val="000000" w:themeColor="text1"/>
          <w:sz w:val="24"/>
          <w:szCs w:val="24"/>
        </w:rPr>
        <w:t xml:space="preserve"> </w:t>
      </w:r>
      <w:r w:rsidRPr="009F1FCA">
        <w:rPr>
          <w:rFonts w:ascii="Times New Roman" w:hAnsi="Times New Roman" w:cs="Times New Roman"/>
          <w:b/>
          <w:color w:val="000000" w:themeColor="text1"/>
          <w:sz w:val="24"/>
          <w:szCs w:val="24"/>
        </w:rPr>
        <w:t>Use of unit costs, lump sums, flat rates and financing not linked to costs</w:t>
      </w:r>
    </w:p>
    <w:p w:rsidR="0088411E" w:rsidRPr="009F1FCA" w:rsidRDefault="0088411E" w:rsidP="0088411E">
      <w:pPr>
        <w:shd w:val="clear" w:color="auto" w:fill="FFFFFF"/>
        <w:spacing w:after="0" w:line="240" w:lineRule="auto"/>
        <w:jc w:val="both"/>
        <w:rPr>
          <w:rFonts w:ascii="Times New Roman" w:eastAsia="Times New Roman" w:hAnsi="Times New Roman" w:cs="Times New Roman"/>
          <w:b/>
          <w:color w:val="000000" w:themeColor="text1"/>
          <w:sz w:val="24"/>
          <w:szCs w:val="24"/>
        </w:rPr>
      </w:pPr>
      <w:r w:rsidRPr="009F1FCA">
        <w:rPr>
          <w:rFonts w:ascii="Times New Roman" w:hAnsi="Times New Roman" w:cs="Times New Roman"/>
          <w:i/>
          <w:color w:val="000000" w:themeColor="text1"/>
          <w:sz w:val="24"/>
          <w:szCs w:val="24"/>
        </w:rPr>
        <w:t>Reference: Articles 88 and 89 CPR</w:t>
      </w:r>
    </w:p>
    <w:tbl>
      <w:tblPr>
        <w:tblW w:w="9747" w:type="dxa"/>
        <w:shd w:val="clear" w:color="auto" w:fill="FFFFFF"/>
        <w:tblCellMar>
          <w:left w:w="0" w:type="dxa"/>
          <w:right w:w="0" w:type="dxa"/>
        </w:tblCellMar>
        <w:tblLook w:val="04A0" w:firstRow="1" w:lastRow="0" w:firstColumn="1" w:lastColumn="0" w:noHBand="0" w:noVBand="1"/>
      </w:tblPr>
      <w:tblGrid>
        <w:gridCol w:w="4928"/>
        <w:gridCol w:w="4819"/>
      </w:tblGrid>
      <w:tr w:rsidR="009F1FCA" w:rsidRPr="009F1FCA" w:rsidTr="00D40709">
        <w:tc>
          <w:tcPr>
            <w:tcW w:w="49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88411E" w:rsidRPr="009F1FCA" w:rsidRDefault="0088411E" w:rsidP="00D40709">
            <w:pPr>
              <w:spacing w:after="0" w:line="240" w:lineRule="auto"/>
              <w:jc w:val="both"/>
              <w:rPr>
                <w:rFonts w:ascii="Times New Roman" w:eastAsia="Times New Roman" w:hAnsi="Times New Roman" w:cs="Times New Roman"/>
                <w:color w:val="000000" w:themeColor="text1"/>
                <w:sz w:val="24"/>
                <w:szCs w:val="24"/>
              </w:rPr>
            </w:pPr>
            <w:r w:rsidRPr="009F1FCA">
              <w:rPr>
                <w:rFonts w:ascii="Times New Roman" w:hAnsi="Times New Roman" w:cs="Times New Roman"/>
                <w:color w:val="000000" w:themeColor="text1"/>
                <w:sz w:val="24"/>
                <w:szCs w:val="24"/>
              </w:rPr>
              <w:t>Indication of use of Article 88 and 89*:</w:t>
            </w:r>
          </w:p>
        </w:tc>
        <w:tc>
          <w:tcPr>
            <w:tcW w:w="48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88411E" w:rsidRPr="009F1FCA" w:rsidRDefault="0088411E" w:rsidP="00D40709">
            <w:pPr>
              <w:spacing w:after="0" w:line="240" w:lineRule="auto"/>
              <w:jc w:val="both"/>
              <w:rPr>
                <w:rFonts w:ascii="Times New Roman" w:eastAsia="Times New Roman" w:hAnsi="Times New Roman" w:cs="Times New Roman"/>
                <w:color w:val="000000" w:themeColor="text1"/>
                <w:sz w:val="24"/>
                <w:szCs w:val="24"/>
              </w:rPr>
            </w:pPr>
            <w:r w:rsidRPr="009F1FCA">
              <w:rPr>
                <w:rFonts w:ascii="Times New Roman" w:hAnsi="Times New Roman" w:cs="Times New Roman"/>
                <w:color w:val="000000" w:themeColor="text1"/>
                <w:sz w:val="24"/>
                <w:szCs w:val="24"/>
              </w:rPr>
              <w:t>Specific objective</w:t>
            </w:r>
          </w:p>
        </w:tc>
      </w:tr>
      <w:tr w:rsidR="009F1FCA" w:rsidRPr="009F1FCA" w:rsidTr="00D40709">
        <w:tc>
          <w:tcPr>
            <w:tcW w:w="49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88411E" w:rsidRPr="009F1FCA" w:rsidRDefault="0088411E" w:rsidP="0088411E">
            <w:pPr>
              <w:spacing w:after="0" w:line="240" w:lineRule="auto"/>
              <w:jc w:val="both"/>
              <w:rPr>
                <w:rFonts w:ascii="Times New Roman" w:eastAsia="Times New Roman" w:hAnsi="Times New Roman" w:cs="Times New Roman"/>
                <w:color w:val="000000" w:themeColor="text1"/>
                <w:sz w:val="24"/>
                <w:szCs w:val="24"/>
              </w:rPr>
            </w:pPr>
            <w:r w:rsidRPr="009F1FCA">
              <w:rPr>
                <w:rFonts w:ascii="Times New Roman" w:hAnsi="Times New Roman" w:cs="Times New Roman"/>
                <w:color w:val="000000" w:themeColor="text1"/>
                <w:sz w:val="24"/>
                <w:szCs w:val="24"/>
              </w:rPr>
              <w:t>Use of reimbursement of eligible expenditure based on unit costs, lump sums and flat rates under priority according to Article 88 CPR</w:t>
            </w:r>
          </w:p>
        </w:tc>
        <w:tc>
          <w:tcPr>
            <w:tcW w:w="48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88411E" w:rsidRPr="009F1FCA" w:rsidRDefault="0088411E" w:rsidP="0088411E">
            <w:pPr>
              <w:spacing w:after="0" w:line="240" w:lineRule="auto"/>
              <w:rPr>
                <w:rFonts w:ascii="Times New Roman" w:eastAsia="Times New Roman" w:hAnsi="Times New Roman" w:cs="Times New Roman"/>
                <w:color w:val="000000" w:themeColor="text1"/>
                <w:sz w:val="24"/>
                <w:szCs w:val="24"/>
                <w:lang w:eastAsia="lt-LT"/>
              </w:rPr>
            </w:pPr>
          </w:p>
        </w:tc>
      </w:tr>
      <w:tr w:rsidR="009F1FCA" w:rsidRPr="009F1FCA" w:rsidTr="00D40709">
        <w:tc>
          <w:tcPr>
            <w:tcW w:w="49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88411E" w:rsidRPr="009F1FCA" w:rsidRDefault="0088411E" w:rsidP="0088411E">
            <w:pPr>
              <w:spacing w:after="0" w:line="240" w:lineRule="auto"/>
              <w:jc w:val="both"/>
              <w:rPr>
                <w:rFonts w:ascii="Times New Roman" w:eastAsia="Times New Roman" w:hAnsi="Times New Roman" w:cs="Times New Roman"/>
                <w:color w:val="000000" w:themeColor="text1"/>
                <w:sz w:val="24"/>
                <w:szCs w:val="24"/>
              </w:rPr>
            </w:pPr>
            <w:r w:rsidRPr="009F1FCA">
              <w:rPr>
                <w:rFonts w:ascii="Times New Roman" w:hAnsi="Times New Roman" w:cs="Times New Roman"/>
                <w:color w:val="000000" w:themeColor="text1"/>
                <w:sz w:val="24"/>
                <w:szCs w:val="24"/>
              </w:rPr>
              <w:t>Use of financing not linked to costs according to Article 89 CPR</w:t>
            </w:r>
          </w:p>
        </w:tc>
        <w:tc>
          <w:tcPr>
            <w:tcW w:w="48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88411E" w:rsidRPr="009F1FCA" w:rsidRDefault="0088411E" w:rsidP="0088411E">
            <w:pPr>
              <w:spacing w:after="0" w:line="240" w:lineRule="auto"/>
              <w:rPr>
                <w:rFonts w:ascii="Times New Roman" w:eastAsia="Times New Roman" w:hAnsi="Times New Roman" w:cs="Times New Roman"/>
                <w:color w:val="000000" w:themeColor="text1"/>
                <w:sz w:val="24"/>
                <w:szCs w:val="24"/>
                <w:lang w:eastAsia="lt-LT"/>
              </w:rPr>
            </w:pPr>
          </w:p>
        </w:tc>
      </w:tr>
    </w:tbl>
    <w:p w:rsidR="0088411E" w:rsidRPr="009F1FCA" w:rsidRDefault="0088411E" w:rsidP="0088411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F1FCA">
        <w:rPr>
          <w:rFonts w:ascii="Times New Roman" w:hAnsi="Times New Roman" w:cs="Times New Roman"/>
          <w:color w:val="000000" w:themeColor="text1"/>
          <w:sz w:val="24"/>
          <w:szCs w:val="24"/>
        </w:rPr>
        <w:t>* Full information will be provided according to the models in appendices.</w:t>
      </w:r>
    </w:p>
    <w:p w:rsidR="00711DA0" w:rsidRPr="009F1FCA" w:rsidRDefault="00711DA0">
      <w:pPr>
        <w:rPr>
          <w:rFonts w:ascii="Times New Roman" w:hAnsi="Times New Roman" w:cs="Times New Roman"/>
          <w:color w:val="000000" w:themeColor="text1"/>
          <w:sz w:val="24"/>
          <w:szCs w:val="24"/>
        </w:rPr>
      </w:pPr>
    </w:p>
    <w:sectPr w:rsidR="00711DA0" w:rsidRPr="009F1FCA" w:rsidSect="0088411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BB3613"/>
    <w:multiLevelType w:val="hybridMultilevel"/>
    <w:tmpl w:val="265C1BC6"/>
    <w:lvl w:ilvl="0" w:tplc="DAA0CCF4">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11E"/>
    <w:rsid w:val="00120DC5"/>
    <w:rsid w:val="001A4E9A"/>
    <w:rsid w:val="003B34F3"/>
    <w:rsid w:val="00445DE4"/>
    <w:rsid w:val="00711DA0"/>
    <w:rsid w:val="007C3BD1"/>
    <w:rsid w:val="007F59AD"/>
    <w:rsid w:val="0088411E"/>
    <w:rsid w:val="00974397"/>
    <w:rsid w:val="009806F7"/>
    <w:rsid w:val="009F1FCA"/>
    <w:rsid w:val="00AC3BEB"/>
    <w:rsid w:val="00B54CF1"/>
    <w:rsid w:val="00BF5F53"/>
    <w:rsid w:val="00C67CBD"/>
    <w:rsid w:val="00D407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ormal1">
    <w:name w:val="Normal1"/>
    <w:basedOn w:val="prastasis"/>
    <w:rsid w:val="0088411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footnotereference">
    <w:name w:val="footnotereference"/>
    <w:basedOn w:val="Numatytasispastraiposriftas"/>
    <w:rsid w:val="0088411E"/>
  </w:style>
  <w:style w:type="character" w:styleId="Hipersaitas">
    <w:name w:val="Hyperlink"/>
    <w:basedOn w:val="Numatytasispastraiposriftas"/>
    <w:uiPriority w:val="99"/>
    <w:semiHidden/>
    <w:unhideWhenUsed/>
    <w:rsid w:val="0088411E"/>
    <w:rPr>
      <w:color w:val="0000FF"/>
      <w:u w:val="single"/>
    </w:rPr>
  </w:style>
  <w:style w:type="paragraph" w:customStyle="1" w:styleId="li">
    <w:name w:val="li"/>
    <w:basedOn w:val="prastasis"/>
    <w:rsid w:val="0088411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um">
    <w:name w:val="num"/>
    <w:basedOn w:val="Numatytasispastraiposriftas"/>
    <w:rsid w:val="0088411E"/>
  </w:style>
  <w:style w:type="paragraph" w:customStyle="1" w:styleId="text1">
    <w:name w:val="text1"/>
    <w:basedOn w:val="prastasis"/>
    <w:rsid w:val="0088411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Komentaronuoroda">
    <w:name w:val="annotation reference"/>
    <w:basedOn w:val="Numatytasispastraiposriftas"/>
    <w:uiPriority w:val="99"/>
    <w:semiHidden/>
    <w:unhideWhenUsed/>
    <w:rsid w:val="003B34F3"/>
    <w:rPr>
      <w:sz w:val="16"/>
      <w:szCs w:val="16"/>
    </w:rPr>
  </w:style>
  <w:style w:type="paragraph" w:styleId="Komentarotekstas">
    <w:name w:val="annotation text"/>
    <w:basedOn w:val="prastasis"/>
    <w:link w:val="KomentarotekstasDiagrama"/>
    <w:uiPriority w:val="99"/>
    <w:semiHidden/>
    <w:unhideWhenUsed/>
    <w:rsid w:val="003B34F3"/>
    <w:pPr>
      <w:spacing w:before="120" w:after="120" w:line="240" w:lineRule="auto"/>
      <w:jc w:val="both"/>
    </w:pPr>
    <w:rPr>
      <w:rFonts w:ascii="Times New Roman" w:eastAsia="Calibri" w:hAnsi="Times New Roman" w:cs="Times New Roman"/>
      <w:sz w:val="20"/>
      <w:szCs w:val="20"/>
      <w:lang w:eastAsia="lt-LT" w:bidi="lt-LT"/>
    </w:rPr>
  </w:style>
  <w:style w:type="character" w:customStyle="1" w:styleId="KomentarotekstasDiagrama">
    <w:name w:val="Komentaro tekstas Diagrama"/>
    <w:basedOn w:val="Numatytasispastraiposriftas"/>
    <w:link w:val="Komentarotekstas"/>
    <w:uiPriority w:val="99"/>
    <w:semiHidden/>
    <w:rsid w:val="003B34F3"/>
    <w:rPr>
      <w:rFonts w:ascii="Times New Roman" w:eastAsia="Calibri" w:hAnsi="Times New Roman" w:cs="Times New Roman"/>
      <w:sz w:val="20"/>
      <w:szCs w:val="20"/>
      <w:lang w:eastAsia="lt-LT" w:bidi="lt-LT"/>
    </w:rPr>
  </w:style>
  <w:style w:type="paragraph" w:styleId="Debesliotekstas">
    <w:name w:val="Balloon Text"/>
    <w:basedOn w:val="prastasis"/>
    <w:link w:val="DebesliotekstasDiagrama"/>
    <w:uiPriority w:val="99"/>
    <w:semiHidden/>
    <w:unhideWhenUsed/>
    <w:rsid w:val="003B34F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B34F3"/>
    <w:rPr>
      <w:rFonts w:ascii="Tahoma" w:hAnsi="Tahoma" w:cs="Tahoma"/>
      <w:sz w:val="16"/>
      <w:szCs w:val="16"/>
    </w:rPr>
  </w:style>
  <w:style w:type="paragraph" w:customStyle="1" w:styleId="PointManual">
    <w:name w:val="Point Manual"/>
    <w:basedOn w:val="prastasis"/>
    <w:rsid w:val="00B54CF1"/>
    <w:pPr>
      <w:spacing w:before="120" w:after="120" w:line="360" w:lineRule="auto"/>
      <w:ind w:left="567" w:hanging="567"/>
    </w:pPr>
    <w:rPr>
      <w:rFonts w:ascii="Times New Roman" w:hAnsi="Times New Roman" w:cs="Times New Roman"/>
      <w:sz w:val="24"/>
    </w:rPr>
  </w:style>
  <w:style w:type="paragraph" w:styleId="Sraopastraipa">
    <w:name w:val="List Paragraph"/>
    <w:basedOn w:val="prastasis"/>
    <w:uiPriority w:val="34"/>
    <w:qFormat/>
    <w:rsid w:val="001A4E9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ormal1">
    <w:name w:val="Normal1"/>
    <w:basedOn w:val="prastasis"/>
    <w:rsid w:val="0088411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footnotereference">
    <w:name w:val="footnotereference"/>
    <w:basedOn w:val="Numatytasispastraiposriftas"/>
    <w:rsid w:val="0088411E"/>
  </w:style>
  <w:style w:type="character" w:styleId="Hipersaitas">
    <w:name w:val="Hyperlink"/>
    <w:basedOn w:val="Numatytasispastraiposriftas"/>
    <w:uiPriority w:val="99"/>
    <w:semiHidden/>
    <w:unhideWhenUsed/>
    <w:rsid w:val="0088411E"/>
    <w:rPr>
      <w:color w:val="0000FF"/>
      <w:u w:val="single"/>
    </w:rPr>
  </w:style>
  <w:style w:type="paragraph" w:customStyle="1" w:styleId="li">
    <w:name w:val="li"/>
    <w:basedOn w:val="prastasis"/>
    <w:rsid w:val="0088411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um">
    <w:name w:val="num"/>
    <w:basedOn w:val="Numatytasispastraiposriftas"/>
    <w:rsid w:val="0088411E"/>
  </w:style>
  <w:style w:type="paragraph" w:customStyle="1" w:styleId="text1">
    <w:name w:val="text1"/>
    <w:basedOn w:val="prastasis"/>
    <w:rsid w:val="0088411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Komentaronuoroda">
    <w:name w:val="annotation reference"/>
    <w:basedOn w:val="Numatytasispastraiposriftas"/>
    <w:uiPriority w:val="99"/>
    <w:semiHidden/>
    <w:unhideWhenUsed/>
    <w:rsid w:val="003B34F3"/>
    <w:rPr>
      <w:sz w:val="16"/>
      <w:szCs w:val="16"/>
    </w:rPr>
  </w:style>
  <w:style w:type="paragraph" w:styleId="Komentarotekstas">
    <w:name w:val="annotation text"/>
    <w:basedOn w:val="prastasis"/>
    <w:link w:val="KomentarotekstasDiagrama"/>
    <w:uiPriority w:val="99"/>
    <w:semiHidden/>
    <w:unhideWhenUsed/>
    <w:rsid w:val="003B34F3"/>
    <w:pPr>
      <w:spacing w:before="120" w:after="120" w:line="240" w:lineRule="auto"/>
      <w:jc w:val="both"/>
    </w:pPr>
    <w:rPr>
      <w:rFonts w:ascii="Times New Roman" w:eastAsia="Calibri" w:hAnsi="Times New Roman" w:cs="Times New Roman"/>
      <w:sz w:val="20"/>
      <w:szCs w:val="20"/>
      <w:lang w:eastAsia="lt-LT" w:bidi="lt-LT"/>
    </w:rPr>
  </w:style>
  <w:style w:type="character" w:customStyle="1" w:styleId="KomentarotekstasDiagrama">
    <w:name w:val="Komentaro tekstas Diagrama"/>
    <w:basedOn w:val="Numatytasispastraiposriftas"/>
    <w:link w:val="Komentarotekstas"/>
    <w:uiPriority w:val="99"/>
    <w:semiHidden/>
    <w:rsid w:val="003B34F3"/>
    <w:rPr>
      <w:rFonts w:ascii="Times New Roman" w:eastAsia="Calibri" w:hAnsi="Times New Roman" w:cs="Times New Roman"/>
      <w:sz w:val="20"/>
      <w:szCs w:val="20"/>
      <w:lang w:eastAsia="lt-LT" w:bidi="lt-LT"/>
    </w:rPr>
  </w:style>
  <w:style w:type="paragraph" w:styleId="Debesliotekstas">
    <w:name w:val="Balloon Text"/>
    <w:basedOn w:val="prastasis"/>
    <w:link w:val="DebesliotekstasDiagrama"/>
    <w:uiPriority w:val="99"/>
    <w:semiHidden/>
    <w:unhideWhenUsed/>
    <w:rsid w:val="003B34F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B34F3"/>
    <w:rPr>
      <w:rFonts w:ascii="Tahoma" w:hAnsi="Tahoma" w:cs="Tahoma"/>
      <w:sz w:val="16"/>
      <w:szCs w:val="16"/>
    </w:rPr>
  </w:style>
  <w:style w:type="paragraph" w:customStyle="1" w:styleId="PointManual">
    <w:name w:val="Point Manual"/>
    <w:basedOn w:val="prastasis"/>
    <w:rsid w:val="00B54CF1"/>
    <w:pPr>
      <w:spacing w:before="120" w:after="120" w:line="360" w:lineRule="auto"/>
      <w:ind w:left="567" w:hanging="567"/>
    </w:pPr>
    <w:rPr>
      <w:rFonts w:ascii="Times New Roman" w:hAnsi="Times New Roman" w:cs="Times New Roman"/>
      <w:sz w:val="24"/>
    </w:rPr>
  </w:style>
  <w:style w:type="paragraph" w:styleId="Sraopastraipa">
    <w:name w:val="List Paragraph"/>
    <w:basedOn w:val="prastasis"/>
    <w:uiPriority w:val="34"/>
    <w:qFormat/>
    <w:rsid w:val="001A4E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158602">
      <w:bodyDiv w:val="1"/>
      <w:marLeft w:val="0"/>
      <w:marRight w:val="0"/>
      <w:marTop w:val="0"/>
      <w:marBottom w:val="0"/>
      <w:divBdr>
        <w:top w:val="none" w:sz="0" w:space="0" w:color="auto"/>
        <w:left w:val="none" w:sz="0" w:space="0" w:color="auto"/>
        <w:bottom w:val="none" w:sz="0" w:space="0" w:color="auto"/>
        <w:right w:val="none" w:sz="0" w:space="0" w:color="auto"/>
      </w:divBdr>
      <w:divsChild>
        <w:div w:id="1622689165">
          <w:marLeft w:val="0"/>
          <w:marRight w:val="0"/>
          <w:marTop w:val="0"/>
          <w:marBottom w:val="0"/>
          <w:divBdr>
            <w:top w:val="none" w:sz="0" w:space="0" w:color="auto"/>
            <w:left w:val="none" w:sz="0" w:space="0" w:color="auto"/>
            <w:bottom w:val="none" w:sz="0" w:space="0" w:color="auto"/>
            <w:right w:val="none" w:sz="0" w:space="0" w:color="auto"/>
          </w:divBdr>
        </w:div>
        <w:div w:id="136265634">
          <w:marLeft w:val="0"/>
          <w:marRight w:val="0"/>
          <w:marTop w:val="0"/>
          <w:marBottom w:val="0"/>
          <w:divBdr>
            <w:top w:val="none" w:sz="0" w:space="0" w:color="auto"/>
            <w:left w:val="none" w:sz="0" w:space="0" w:color="auto"/>
            <w:bottom w:val="none" w:sz="0" w:space="0" w:color="auto"/>
            <w:right w:val="none" w:sz="0" w:space="0" w:color="auto"/>
          </w:divBdr>
        </w:div>
        <w:div w:id="1383406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14</Pages>
  <Words>27428</Words>
  <Characters>15635</Characters>
  <Application>Microsoft Office Word</Application>
  <DocSecurity>0</DocSecurity>
  <Lines>130</Lines>
  <Paragraphs>85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Perevičiūtė</dc:creator>
  <cp:lastModifiedBy>Laura Perevičiūtė</cp:lastModifiedBy>
  <cp:revision>5</cp:revision>
  <dcterms:created xsi:type="dcterms:W3CDTF">2020-05-18T12:12:00Z</dcterms:created>
  <dcterms:modified xsi:type="dcterms:W3CDTF">2020-05-21T06:39:00Z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1172098073</vt:i4>
  </property>
  <property fmtid="{D5CDD505-2E9C-101B-9397-08002B2CF9AE}" pid="3" name="_NewReviewCycle">
    <vt:lpwstr/>
  </property>
  <property fmtid="{D5CDD505-2E9C-101B-9397-08002B2CF9AE}" pid="4" name="_EmailSubject">
    <vt:lpwstr>del vertimo poreikio</vt:lpwstr>
  </property>
  <property fmtid="{D5CDD505-2E9C-101B-9397-08002B2CF9AE}" pid="5" name="_AuthorEmail">
    <vt:lpwstr>Laura.Pereviciute@socmin.lt</vt:lpwstr>
  </property>
  <property fmtid="{D5CDD505-2E9C-101B-9397-08002B2CF9AE}" pid="6" name="_AuthorEmailDisplayName">
    <vt:lpwstr>Laura Perevičiūtė</vt:lpwstr>
  </property>
  <property fmtid="{D5CDD505-2E9C-101B-9397-08002B2CF9AE}" pid="7" name="_ReviewingToolsShownOnce">
    <vt:lpwstr/>
  </property>
</Properties>
</file>