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11E" w:rsidRPr="0088411E" w:rsidRDefault="0088411E" w:rsidP="003B34F3">
      <w:pPr>
        <w:spacing w:after="0" w:line="240" w:lineRule="auto"/>
        <w:jc w:val="center"/>
        <w:rPr>
          <w:rFonts w:ascii="Times New Roman" w:eastAsia="Times New Roman" w:hAnsi="Times New Roman" w:cs="Times New Roman"/>
          <w:b/>
          <w:sz w:val="24"/>
          <w:szCs w:val="24"/>
          <w:u w:val="single"/>
          <w:lang w:eastAsia="lt-LT"/>
        </w:rPr>
      </w:pPr>
      <w:r w:rsidRPr="0088411E">
        <w:rPr>
          <w:rFonts w:ascii="Times New Roman" w:eastAsia="Calibri" w:hAnsi="Times New Roman" w:cs="Times New Roman"/>
          <w:b/>
          <w:noProof/>
          <w:sz w:val="24"/>
          <w:szCs w:val="20"/>
          <w:u w:val="single"/>
          <w:lang w:eastAsia="lt-LT" w:bidi="lt-LT"/>
        </w:rPr>
        <w:t>ANNEX</w:t>
      </w:r>
      <w:r w:rsidRPr="0088411E">
        <w:rPr>
          <w:rFonts w:ascii="Times New Roman" w:eastAsia="Times New Roman" w:hAnsi="Times New Roman" w:cs="Times New Roman"/>
          <w:b/>
          <w:sz w:val="24"/>
          <w:szCs w:val="24"/>
          <w:u w:val="single"/>
          <w:lang w:eastAsia="lt-LT"/>
        </w:rPr>
        <w:t xml:space="preserve"> VI</w:t>
      </w:r>
    </w:p>
    <w:p w:rsidR="0088411E" w:rsidRDefault="0088411E" w:rsidP="003B34F3">
      <w:pPr>
        <w:spacing w:after="0" w:line="240" w:lineRule="auto"/>
        <w:jc w:val="center"/>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Template of a programme for the AMIF, the ISF and the BMVI – Article 16(3)</w:t>
      </w:r>
    </w:p>
    <w:p w:rsidR="003B34F3" w:rsidRPr="0088411E" w:rsidRDefault="003B34F3" w:rsidP="003B34F3">
      <w:pPr>
        <w:spacing w:after="0" w:line="240" w:lineRule="auto"/>
        <w:jc w:val="center"/>
        <w:rPr>
          <w:rFonts w:ascii="Times New Roman" w:eastAsia="Times New Roman" w:hAnsi="Times New Roman" w:cs="Times New Roman"/>
          <w:b/>
          <w:sz w:val="24"/>
          <w:szCs w:val="24"/>
          <w:lang w:eastAsia="lt-LT"/>
        </w:rPr>
      </w:pPr>
    </w:p>
    <w:tbl>
      <w:tblPr>
        <w:tblW w:w="9747" w:type="dxa"/>
        <w:tblCellMar>
          <w:left w:w="0" w:type="dxa"/>
          <w:right w:w="0" w:type="dxa"/>
        </w:tblCellMar>
        <w:tblLook w:val="04A0" w:firstRow="1" w:lastRow="0" w:firstColumn="1" w:lastColumn="0" w:noHBand="0" w:noVBand="1"/>
      </w:tblPr>
      <w:tblGrid>
        <w:gridCol w:w="5920"/>
        <w:gridCol w:w="3827"/>
      </w:tblGrid>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CCI number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Title in English</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[255 characters </w:t>
            </w:r>
            <w:hyperlink r:id="rId5" w:anchor="footnote18" w:history="1">
              <w:r w:rsidRPr="0088411E">
                <w:rPr>
                  <w:rFonts w:ascii="Times New Roman" w:eastAsia="Times New Roman" w:hAnsi="Times New Roman" w:cs="Times New Roman"/>
                  <w:b/>
                  <w:color w:val="000000"/>
                  <w:sz w:val="20"/>
                  <w:szCs w:val="20"/>
                  <w:lang w:eastAsia="lt-LT"/>
                </w:rPr>
                <w:t>18</w:t>
              </w:r>
            </w:hyperlink>
            <w:r w:rsidRPr="0088411E">
              <w:rPr>
                <w:rFonts w:ascii="Times New Roman" w:eastAsia="Times New Roman" w:hAnsi="Times New Roman" w:cs="Times New Roman"/>
                <w:b/>
                <w:sz w:val="24"/>
                <w:szCs w:val="24"/>
                <w:lang w:eastAsia="lt-LT"/>
              </w:rPr>
              <w:t> ]</w:t>
            </w: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Title in the national language</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[255]</w:t>
            </w: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Version</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First Year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[4]</w:t>
            </w: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Last Year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[4]</w:t>
            </w: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Eligible from</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Eligible until</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Commission Decision Number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Commission Decision Date</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Member State amending decision number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88411E"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Member State amending decision entry into force date</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b/>
                <w:sz w:val="24"/>
                <w:szCs w:val="24"/>
                <w:lang w:eastAsia="lt-LT"/>
              </w:rPr>
            </w:pPr>
          </w:p>
        </w:tc>
      </w:tr>
    </w:tbl>
    <w:p w:rsidR="0088411E" w:rsidRPr="0088411E" w:rsidRDefault="0088411E" w:rsidP="0088411E">
      <w:pPr>
        <w:spacing w:after="0" w:line="240" w:lineRule="auto"/>
        <w:ind w:left="468"/>
        <w:jc w:val="both"/>
        <w:rPr>
          <w:rFonts w:ascii="Times New Roman" w:eastAsia="Times New Roman" w:hAnsi="Times New Roman" w:cs="Times New Roman"/>
          <w:b/>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b/>
          <w:sz w:val="24"/>
          <w:szCs w:val="24"/>
          <w:lang w:eastAsia="lt-LT"/>
        </w:rPr>
      </w:pPr>
      <w:r w:rsidRPr="003B34F3">
        <w:rPr>
          <w:rFonts w:ascii="Times New Roman" w:eastAsia="Times New Roman" w:hAnsi="Times New Roman" w:cs="Times New Roman"/>
          <w:b/>
          <w:sz w:val="24"/>
          <w:szCs w:val="24"/>
          <w:lang w:eastAsia="lt-LT"/>
        </w:rPr>
        <w:t>1.</w:t>
      </w:r>
      <w:r w:rsidRPr="0088411E">
        <w:rPr>
          <w:rFonts w:ascii="Times New Roman" w:eastAsia="Times New Roman" w:hAnsi="Times New Roman" w:cs="Times New Roman"/>
          <w:b/>
          <w:sz w:val="24"/>
          <w:szCs w:val="24"/>
          <w:lang w:eastAsia="lt-LT"/>
        </w:rPr>
        <w:t>Programme strategy: main challenges and policy responses</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17(3)(a)(i)-(v) and (vii) and 17(3)(b)</w:t>
      </w:r>
    </w:p>
    <w:tbl>
      <w:tblPr>
        <w:tblW w:w="9747" w:type="dxa"/>
        <w:tblCellMar>
          <w:left w:w="0" w:type="dxa"/>
          <w:right w:w="0" w:type="dxa"/>
        </w:tblCellMar>
        <w:tblLook w:val="04A0" w:firstRow="1" w:lastRow="0" w:firstColumn="1" w:lastColumn="0" w:noHBand="0" w:noVBand="1"/>
      </w:tblPr>
      <w:tblGrid>
        <w:gridCol w:w="9747"/>
      </w:tblGrid>
      <w:tr w:rsidR="0088411E" w:rsidRPr="0088411E" w:rsidTr="0088411E">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This section explains how the programme will address the main challenges identified in the Partnership Agreement, provides a summary of challenges identified at the national level based on local, regional and national needs assessments and/or strategies. It provides an overview of the state of implementation of relevant EU acquis and the progress achieved on EU action plans, and describes how the Fund will support their development through the programming period.</w:t>
            </w:r>
          </w:p>
        </w:tc>
      </w:tr>
    </w:tbl>
    <w:p w:rsidR="0088411E" w:rsidRPr="0088411E" w:rsidRDefault="0088411E" w:rsidP="0088411E">
      <w:pPr>
        <w:spacing w:after="0" w:line="240" w:lineRule="auto"/>
        <w:rPr>
          <w:rFonts w:ascii="Times New Roman" w:eastAsia="Times New Roman" w:hAnsi="Times New Roman" w:cs="Times New Roman"/>
          <w:vanish/>
          <w:sz w:val="24"/>
          <w:szCs w:val="24"/>
          <w:lang w:eastAsia="lt-LT"/>
        </w:rPr>
      </w:pPr>
    </w:p>
    <w:tbl>
      <w:tblPr>
        <w:tblW w:w="9747" w:type="dxa"/>
        <w:tblCellMar>
          <w:left w:w="0" w:type="dxa"/>
          <w:right w:w="0" w:type="dxa"/>
        </w:tblCellMar>
        <w:tblLook w:val="04A0" w:firstRow="1" w:lastRow="0" w:firstColumn="1" w:lastColumn="0" w:noHBand="0" w:noVBand="1"/>
      </w:tblPr>
      <w:tblGrid>
        <w:gridCol w:w="9747"/>
      </w:tblGrid>
      <w:tr w:rsidR="0088411E" w:rsidRPr="0088411E" w:rsidTr="0088411E">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Prieglobsčio Lietuvoje suteikimo sistema atitinka bendruosius ES teisės aktus. Nuo 2011 m. Lietuva dalyvauja Europos prieglobsčio paramos biuro veikloje ir aktyviai investuoja siekdama prisidėti prie bendros Europos prieglobsčio sistemos kūrimo. Siekiama paprastinti, racionalizuoti tarptautinės apsaugos (pabėgėlio statuso ir papildomos apsaugos) suteikimo procedūrinius standartus, užtikrinti pagrįstų ir kokybiškų sprendimų priėmimą, neleisti piktnaudžiauti tarptautinės apsaugos procedūromis, užtikrinti žmogiškąjį orumą atitinkančias priėmimo sąlygas, patį prieglobsčio procesą padaryti veiksmingesnį, trumpesnį, užtikrinti procedūrų sąžiningumą ir efektyvumą (įvertinant teisinės pagalbos ir kitų būtinų garantijų poreikius, ypač –pažeidžiamų asmenų grupėje ). 2014-2020 m. programavimo periodo metu buvo atnaujinta ir išplėsta prieglobsčio prašytojų apgyvendinimo infrastruktūra (atkreipiant dėmesį į pažeidžiamas grupes), išbandyti alternatyvaus apgyvendinimo savivaldybėse būdai, investuota į paslaugų teikimą ir kompetencijų ugdymą, tačiau tolimesnės investicijos šiomis kryptimis vis dar išlieka aktualios. Migracijos departamento duomenimis, 2017–2019 m. gauta daugiau kaip 1 500 užsieniečių prašymų suteikti prieglobstį (36 proc. daugiau nei 2014–2016 m.). 2019 m. prašymų suteikti prieglobstį Lietuvoje toliau daugėjo, labai išaugo iš Baltarusijos Respublikos atvykstančių Tadžikistano Respublikos ir Rusijos Federacijos piliečių skaičius (jų prašymai 2019 m. sudaro beveik 70 proc. visų pateiktų prašymų), daugėjo nepagrįstų prašymų suteikti prieglobstį Lietuvoje. Išaugus pasienio kontrolės punktuose pateikiamų užsieniečių prašymų suteikti prieglobstį skaičiui, kyla poreikis didinti Lietuvos prieglobsčio sistemos apgyvendinimo ir priėmimo pajėgumus, prieglobsčio bylų  nagrinėjimo pajėgumus, konsoliduoti ir plėsti vertimo paslaugas.</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Trečiųjų šalių piliečių integracijos srityje 2014-2020 m. programavimo periodo metu išskirtinis dėmesys skirtas strateginio planavimo ir investavimo tobulinimui. 2018 m. Lietuvos Respublikos Vyriausybė  patvirtino Demografijos, migracijos ir integracijos politikos 2018–2030 m. strategiją, kurioje nustatyti ir pagrindiniai tikslai ir uždaviniai integracijos srityje. Atskirai patvirtintas Užsieniečių integracijos į visuomenę 2018–2020 m. veiksmų planas, kuriame identifikuotos pagrindiniai integracijos iššūkiai ir nustatyti būtini įgyvendinti veiksmai. 2014-2020 m. PMIF </w:t>
            </w:r>
            <w:r w:rsidRPr="003B34F3">
              <w:rPr>
                <w:rFonts w:ascii="Times New Roman" w:eastAsia="Times New Roman" w:hAnsi="Times New Roman" w:cs="Times New Roman"/>
                <w:sz w:val="24"/>
                <w:szCs w:val="24"/>
                <w:highlight w:val="yellow"/>
                <w:lang w:eastAsia="lt-LT"/>
              </w:rPr>
              <w:lastRenderedPageBreak/>
              <w:t xml:space="preserve">investicijomis buvo siekiama gerinti trečiųjų šalių piliečių kalbos įgūdžius ir kitas kompetencijas, gerinti santykius su vietos bendruomenėmis, investuota į integracijos srityje dirbančių specialistų kompetenciją, vykdytos viešinimo ir komunikacijos kampanijos, sukurta vieninga migracijos ir integracijos informacinė platforma. Po 2019 m. lėšų perskirstymo papildomos investicijos nukreiptos siekiant sukurti vieningą lietuvių kalbos mokymo metodiką ir stiprinti integracijos procesų valdymą savivadybėse.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Lietuvos statistikos departamento duomenimis, 2009–2015 m. užsieniečių imigracija buvo nedidelė – vidutiniškai per metus imigravo 2 600 užsieniečių. Pastaruosius keletą metų pastebima augimo tendencija: Lietuvos statistikos departamento duomenimis, imigravusių užsieniečių skaičius padidėjo nuo 5 955 (2016 m.) iki 19 655 (2019 m. išankstiniai duomenys). 2020 m. pradžioje Lietuvoje gyveno  70 081 užsieniečių (2,79 proc. bendro gyventojų skaičiaus (išaugo nuo 1,1 proc. 2013 m.). Didėjant užsieniečių kiekiui Lietuvoje, kyla nauji iššūkiai efektyviai veikiančiai integracijos sistemai.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Reikalingos papildomos investicijos į savivaldos kompetencijų didinimą ir jų lyderystės integracijos procesuose stiprinimą, trūksta kompleksiško institucijų požiūrio ir įsitraukimo į užsieniečių integracijos procesą. Šiuo metu Lietuvoje daugiausia integracijos paslaugų yra teikiama didžiuosiuose miestuose (Vilnius, Kaunas, Klaipėda) ir keletoje savivaldybių, kurios pačios aktyviau formuoja integracijos politiką – Jonavos miestas, Naujoji Akmenė. 2014-2020 m. buvo investuota į minėtų savivaldybių (įtraukta dar viena – Šiaulių miesto – savivaldybė) lyderystės ir kompleksiškos integracijos politikos formavimo gebėjimų ugdymą, vietos aktorių tinklų kūrimą ir strateginio planavimo ugdymą. 2021-2027 m. bus toliau dirbama su šių savivaldybių kompetencijomis ir įtraukiamos naujos savivaldybės, siekiant platesnės užsieniečių integraicjos visoje valstybėje.</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2019 m. buvo pakeistas Lietuvos Respublikos reglamentuojamų profesinių kvalifikacijų pripažinimo įstatymas ir įtvirtintos nuostatos dėl trečiųjų valstybių piliečių profesinių kvalifikacijų, įgytų trečiosiose valstybėse, pripažinimo (profesinės kvalifikacijos pripažinimo terminai, profesinės kvalifikacijos nepripažinimo pagrindai, kompensacinių priemonių taikymo pagrindai). Tais pačiai metais pakeistas ir  Lietuvos Respublikos įstatymas dėl užsieniečių teisinės padėties ir prieglobsčio prašytojams suteikta teisė pradėti dirbti po 6 mėnesių nuo prieglobsčio prašymo pateikimo dienos. Nepaisant šių pakeitimų tiek prieglobsčio prašytojų, tiek prieglobsčio gavėjų įsidarbinimo rodikliai yra per žemi. Prieglobstį Lietuvos Respublikoje gavusių užsieniečių turimi darbiniai įgūdžiai ir kvalifikacija dažnai neatitinka šalies darbo rinkos poreikių, todėl jie dirba mažiau kvalifikuotą darbą, nei dirbo savo kilmės šalyje. Kita dalis prieglobsčio gavėjų atvyksta turėdami pagrindinį, vidurinį arba nebaigtą pagrindinį / vidurinį išsilavinimą, tokiu atveju mokosi suaugusiųjų mokymo centruose, vakarinėse mokyklose ir vėliau dirba nekvalifikuotą darbą arba naudojasi profesinio mokymo galimybėmis. Tyrimų analizė rodo, kad prieglobsčio gavėjai retai patys kreipiasi į darbdavius, o Užimtumo tarnybai trūksta kompetencijų dirbti su šia specifine tiksline grupe.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ES valstybėse narėse atlikti tyrimai rodo, kad trečiųjų šalių piliečių moterų  galimybės aktyviai dalyvauti darbo rinkoje dažniausiai apribotos dėl vaikų priežiūros pareigų, šeimos tradicijų, kurios draudžia moterims dirbti, jeigu vyras yra bedarbis, ir stereotipų dėl lyties ir etniškumo, todėl moterų nedarbas ypač didelis tik atvykus į šalį ir išgyvenus joje iki 10 metų. Įvertinus šiuos iššūkius planuojama stiprinti įdarbinimo kompetencijas šalyje, papildomai investuoti į mokymosi visą gyvenimą sistemą, kvalifikacijų pripažinimo ir stiprinimo paslaugas, kalbos mokymus, taip pat skatinti trečiųjų šalių piliečių verslumą.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Taip pat išskirtinis dėmesys turės būti skiriamas migrantų, atvykstančių darbo pagrindu, situacijos gerinimui. Nuo 2016 m. Lietuvoje labai išaugo ir toliau sparčiai auga darbo imigracija (2019 m. užsieniečiai darbuotojai sudarė 76 proc. bendro imigrantų skaičiaus). 2019 m. patikslinus teisės aktus sudaryta galimybė dirbti trečiųjų šalių piliečiams teisėto trumpalaikio buvimo Lietuvos Respublikoje laikotarpiu, prieglobsčio prašytojams praėjus 6 mėn. nuo prieglobsčio prašymo </w:t>
            </w:r>
            <w:r w:rsidRPr="003B34F3">
              <w:rPr>
                <w:rFonts w:ascii="Times New Roman" w:eastAsia="Times New Roman" w:hAnsi="Times New Roman" w:cs="Times New Roman"/>
                <w:sz w:val="24"/>
                <w:szCs w:val="24"/>
                <w:highlight w:val="yellow"/>
                <w:lang w:eastAsia="lt-LT"/>
              </w:rPr>
              <w:lastRenderedPageBreak/>
              <w:t xml:space="preserve">pateikimo. Didėjant dirbančių trečiųjų šalių piliečių skaičiui, taip pat kyla užsieniečių išnaudojimo ir prekybos žmonėmis pavojus. Didėja tautinių mažumų integracijos poreikis. Šiuo metu apie užsieniečių įdarbinimą darbdavys privalo informuoti atsakingą instituciją, tačiau reikalingos papildomos investicijos duomenų kokybei ir sinergijai užtikrinti, trūksta duomenų informuotai politikai formuoti. 2014-2020 m. programavimo periodo metu buvo atliktas tyrimas, kurio metu identifikuotos didžiausios spragos sistemoje ir suformuluotos investicinės kryptys .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2014-2020 m. programavimo periodo metu prieglobstį gavusiems užsieniečiams ir kitiems trečiųjų šalių piliečiams buvo teikiamas kompleksinių paslaugų paketas, siekiat užtikrinti sklandžią jų integraciją (socialinės, psichologinės, vertimo, palydėjimo, pilietinio orientavimo mokymai, kalbos mokymai, kt.). Šių paslaugų teikimas ir toliau bus finansuojamas, tačiau didėjant užsieniečių skaičiams būtina dalį paslaugų standartizuoti, didinti jų kokybę ir plėsti apimtis. Itin svarbu dirbti tobulinant psicholigines ir sveikatos apsaugos paslaugas, taip pat keliant trečiųjų šalių piliečių įdarbinimo sistemos komptenecijas Lietuvoje. Šiuo aspektu bus skiriamas papildomas dėmesys investicijų derinimui su Europos socialinio fondo investicijomis.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Šiuo metu kaip vienas iš didžiausių barjerų sklandžiai žmonių integracijai yra lietuvių kalbos mokėjimas. Siekiant didinti mokymo programos lygį ir kelti specialistų kompetencijas 2014-2020 m. programavimo periodo metu įgyvendintas nacionalinis projektas ir pradėti mokinti tikslinės grupės atstovai. Siekiant užtikrinti metodikos aktualumą ir išlaikyti specialistų kompetencijų lygį būtina užtikrinti tolimesnes investicijas į lietuvių kalbos mokymų tobulinimą.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Vaikų ir jaunimo integracija yra tiesiogiai priklausoma nuo švietimo sistemos pasirengimo priimti trečiųjų šalių piliečių vaikus. Siekiant sklandesnės užsieniečių vaikų integracijos į švietimo sistemą, 2014-2020 m. Lietuvoje buvo sukurtas mokyklų, dirbančių su atvykstančiais vaikais, tinklas, kurio pagrindinis tikslas – stiprinti skirtingų Lietuvos regionų mokyklų, dirbančių su į Lietuvą atvykusiais vaikais, pasirengimą visapusiškai integruoti tiesioginės migracijos patirties turintį vaiką į švietimo sistemą. Pirmasis mokyklų tinklo kūrimo etapas apimė 10 Lietuvos savivaldybių (22 mokyklos). Tinklas padeda atvykstančioms šeimoms lengviau identifikuoti mokyklas, kurios pasiruošusios priimti jų vaikus ir stiprina mokyklų pasirengimą užtikrinti ne tik mokymosi, bet ir socialinę bei emocinę paramą; skatina mokyklas tarpusavyje dalintis turima gerąja patirtimi, metodine medžiaga, darbo metodais. Vis dėl to reikalingos tolimesnės investicijos siekiant sukurti sistemą, leidžiančią profesionaliai įvertinti užsienyje įgytų vaiko žinių kokybę ir veiksmingai spręsti dėl kalbos ir kultūros barjerų kylančias integracijos į švietimo sistemą problemas. Būtina stiprinti švietimo įstaigose dirbančių specialistų tarpkultūrinės kompetencijas. Būtina užtikrinti tarinstitucinį bendradarbiavimą tarp švietimo įstaigų ir nevyriausybinių organizacijų, dirbančių su užsieniečių integracija. </w:t>
            </w:r>
          </w:p>
          <w:p w:rsidR="003B34F3" w:rsidRPr="003B34F3"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Dėl istoriškai susiformavusio kultūrinio uždarumo ir žiniasklaidoje formuojamų įvaizdžių Lietuvoje vis dar vyrauja labiau neigiamas imigracijos, o kartu ir prieglobsčio gavėjų įvaizdis. Etninių tyrimų instituto 2019 m. ataskaitoje teigiama, kad Lietuvos gyventojų nuomonė apie imigrantus paprastai yra susikuriama ne iš asmeninės patirties, o iš įvairių žiniasklaidos priemonių. Praeito programavimo periodo metu buvo invetuojama į komunikacijos kampanijas, šios investicijos ir toliau turės būti tęsiamos. Atlikus kokybines apklausas paaiškėjo, kad glaudesni ryšiai su vietos bendruomene padėtų prieglobsčio gavėjams geriau išmokti kalbą, užimtumas ir bendravimas darbo vietoje padidintų praktinį kalbos naudojimą ir žinias. Tačiau dėl patirtos izoliacijos, ribotų finansinių galimybių, netolerancijos ir (arba) ksenofobijos apraiškų, kartais ir dėl trauminių išgyvenimų prieglobsčio gavėjų gebėjimas rasti galimybių ugdyti kalbinius įgūdžius socialinėje aplinkoje labai susilpnėja. Įvertinus šias problemas, planuojamos papildomos investicijos vietos bendruomenėms, siekiant stiprinti jų vaidmenį integracijos procesuose ir skatinti tarpkultūrinį bendradarbiavimą. </w:t>
            </w:r>
          </w:p>
          <w:p w:rsidR="0088411E" w:rsidRPr="0088411E" w:rsidRDefault="003B34F3" w:rsidP="003B34F3">
            <w:pPr>
              <w:spacing w:after="0" w:line="240" w:lineRule="auto"/>
              <w:jc w:val="both"/>
              <w:rPr>
                <w:rFonts w:ascii="Times New Roman" w:eastAsia="Times New Roman" w:hAnsi="Times New Roman" w:cs="Times New Roman"/>
                <w:sz w:val="24"/>
                <w:szCs w:val="24"/>
                <w:highlight w:val="yellow"/>
                <w:lang w:eastAsia="lt-LT"/>
              </w:rPr>
            </w:pPr>
            <w:r w:rsidRPr="003B34F3">
              <w:rPr>
                <w:rFonts w:ascii="Times New Roman" w:eastAsia="Times New Roman" w:hAnsi="Times New Roman" w:cs="Times New Roman"/>
                <w:sz w:val="24"/>
                <w:szCs w:val="24"/>
                <w:highlight w:val="yellow"/>
                <w:lang w:eastAsia="lt-LT"/>
              </w:rPr>
              <w:t xml:space="preserve">Neteisėtos migracijos prevencija ir kontrolė išlieka vienu iš esminių migracijos valdymo elementų. Lietuva, saugodama ES išorės sieną, ir toliau didžiąja dalimi lieka tranzito šalimi neteisėtos migracijos maršrute ir patraukli šalis užsieniečiams, siekiantiems bet kokiais būdais įteisinti savo </w:t>
            </w:r>
            <w:r w:rsidRPr="003B34F3">
              <w:rPr>
                <w:rFonts w:ascii="Times New Roman" w:eastAsia="Times New Roman" w:hAnsi="Times New Roman" w:cs="Times New Roman"/>
                <w:sz w:val="24"/>
                <w:szCs w:val="24"/>
                <w:highlight w:val="yellow"/>
                <w:lang w:eastAsia="lt-LT"/>
              </w:rPr>
              <w:lastRenderedPageBreak/>
              <w:t>buvimą ES. Didėjant bendram užsieniečių, atvykstančių gyventi į Lietuvą, srautui, kartu stiprinama veikla ir priemonės, kuriomis siekiama nustatyti užsieniečių buvimo ir gyvenimo Lietuvoje piktnaudžiavimo atvejus, efektyvinama nelegalaus darbo kontrolė ir siekiama užkardyti šiuos procesus. 2019 m. iš Lietuvos išsiųsti 73 trečiųjų šalių piliečiai; į užsienio valstybes ar kilmės šalis grąžinti 2 274 užsieniečiai; 24 užsieniečiai įpareigoti išvykti iš Lietuvos. Teikiant prioritetą savanoriškai grąžinti užsieniečius į užsienio valstybes, mažėja užsieniečių, kuriems taikomas priverstinis išsiuntimas. Daugiausia iš Lietuvos išsiunčiama Vietnamo Socialistinės Respublikos, Rusijos Federacijos, Gruzijos piliečių. 2014-2020 m. programavimo periodo metu grąžinimo veiklas vykdė Tarptautinė Migracijos Organizacija ir Valstybinės sienos apsaugos tarnyba, kurių bendradarbiavimas leido užtikrinti savanoriško ir priverstinio grąžinimo veiklų derinimą. Buvo investuojama į grąžinimo srityje dirbančių specialistų kompetencijų tobulinimą, užtikrinta grąžinimų stebėsena ir tobulintos procedūros, atsižvelgus į stebėtojų teikiamas rekomendacijas. Siekiant gerinti grąžintinų asmenų gyvenimo ir grąžinimo sąlygas buvo investuojama į apgyvendinimo infrastruktūros tobulinimą Užsieniečių registracijos centre ir į paslaugų teikimą sulaikytiesiems asmenims. Siekiant toliau tobulinti grąžinimo sistemą būtina toliau investuoti į savanoriško grįžinimo sistemos tobulinimą, speciali</w:t>
            </w:r>
            <w:r w:rsidRPr="003B34F3">
              <w:rPr>
                <w:rFonts w:ascii="Times New Roman" w:eastAsia="Times New Roman" w:hAnsi="Times New Roman" w:cs="Times New Roman"/>
                <w:sz w:val="24"/>
                <w:szCs w:val="24"/>
                <w:highlight w:val="yellow"/>
                <w:lang w:eastAsia="lt-LT"/>
              </w:rPr>
              <w:t>s</w:t>
            </w:r>
            <w:r w:rsidRPr="003B34F3">
              <w:rPr>
                <w:rFonts w:ascii="Times New Roman" w:eastAsia="Times New Roman" w:hAnsi="Times New Roman" w:cs="Times New Roman"/>
                <w:sz w:val="24"/>
                <w:szCs w:val="24"/>
                <w:highlight w:val="yellow"/>
                <w:lang w:eastAsia="lt-LT"/>
              </w:rPr>
              <w:t>tų kompetencijų kėlimą ir informacijos sklaidą, taip pat papildomo dėmesio reikalauja nelegalios darbo migracijos klausimas. Atskirų investicijų reikalauja poreikis gerinti apgyvendinimo sąlygas grąžintinoms šeimoms ir pažeidžiamoms grupėms, vystyti alternatyvius apgyvendinimo modelius.</w:t>
            </w:r>
          </w:p>
        </w:tc>
      </w:tr>
    </w:tbl>
    <w:p w:rsidR="0088411E" w:rsidRDefault="0088411E" w:rsidP="0088411E">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b/>
          <w:sz w:val="24"/>
          <w:szCs w:val="24"/>
          <w:lang w:eastAsia="lt-LT"/>
        </w:rPr>
      </w:pPr>
      <w:r w:rsidRPr="003B34F3">
        <w:rPr>
          <w:rFonts w:ascii="Times New Roman" w:eastAsia="Times New Roman" w:hAnsi="Times New Roman" w:cs="Times New Roman"/>
          <w:b/>
          <w:sz w:val="24"/>
          <w:szCs w:val="24"/>
          <w:lang w:eastAsia="lt-LT"/>
        </w:rPr>
        <w:t>2.</w:t>
      </w:r>
      <w:r w:rsidRPr="0088411E">
        <w:rPr>
          <w:rFonts w:ascii="Times New Roman" w:eastAsia="Times New Roman" w:hAnsi="Times New Roman" w:cs="Times New Roman"/>
          <w:b/>
          <w:sz w:val="24"/>
          <w:szCs w:val="24"/>
          <w:lang w:eastAsia="lt-LT"/>
        </w:rPr>
        <w:t>Specific objectives (repeated for each specific objective other than technical assistance )</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17(2) and 17(4)</w:t>
      </w:r>
    </w:p>
    <w:p w:rsidR="00AC3BEB" w:rsidRDefault="00AC3BEB" w:rsidP="003B34F3">
      <w:pPr>
        <w:spacing w:after="0" w:line="240" w:lineRule="auto"/>
        <w:ind w:firstLine="426"/>
        <w:jc w:val="both"/>
        <w:rPr>
          <w:rFonts w:ascii="Times New Roman" w:eastAsia="Times New Roman" w:hAnsi="Times New Roman" w:cs="Times New Roman"/>
          <w:b/>
          <w:sz w:val="24"/>
          <w:szCs w:val="24"/>
          <w:lang w:eastAsia="lt-LT"/>
        </w:rPr>
      </w:pPr>
    </w:p>
    <w:p w:rsidR="00D40709" w:rsidRPr="0088411E" w:rsidRDefault="00D40709" w:rsidP="00D40709">
      <w:pPr>
        <w:spacing w:after="0" w:line="240" w:lineRule="auto"/>
        <w:ind w:firstLine="426"/>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2.1. Title of the specific objective [300]</w:t>
      </w:r>
    </w:p>
    <w:p w:rsidR="00D40709" w:rsidRPr="0088411E" w:rsidRDefault="00D40709" w:rsidP="00D40709">
      <w:pPr>
        <w:spacing w:after="0" w:line="240" w:lineRule="auto"/>
        <w:ind w:firstLine="426"/>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b/>
          <w:sz w:val="24"/>
          <w:szCs w:val="24"/>
          <w:lang w:eastAsia="lt-LT"/>
        </w:rPr>
        <w:t>2.1.1. Description of a specific objective</w:t>
      </w:r>
    </w:p>
    <w:tbl>
      <w:tblPr>
        <w:tblW w:w="9747" w:type="dxa"/>
        <w:tblInd w:w="-100" w:type="dxa"/>
        <w:tblCellMar>
          <w:left w:w="0" w:type="dxa"/>
          <w:right w:w="0" w:type="dxa"/>
        </w:tblCellMar>
        <w:tblLook w:val="04A0" w:firstRow="1" w:lastRow="0" w:firstColumn="1" w:lastColumn="0" w:noHBand="0" w:noVBand="1"/>
      </w:tblPr>
      <w:tblGrid>
        <w:gridCol w:w="9747"/>
      </w:tblGrid>
      <w:tr w:rsidR="007C3BD1" w:rsidRPr="0088411E" w:rsidTr="007C3BD1">
        <w:tc>
          <w:tcPr>
            <w:tcW w:w="9747" w:type="dxa"/>
            <w:tcBorders>
              <w:top w:val="single" w:sz="6" w:space="0" w:color="000000"/>
              <w:left w:val="single" w:sz="6" w:space="0" w:color="000000"/>
              <w:bottom w:val="single" w:sz="6" w:space="0" w:color="000000"/>
              <w:right w:val="single" w:sz="6" w:space="0" w:color="000000"/>
            </w:tcBorders>
          </w:tcPr>
          <w:p w:rsidR="007C3BD1" w:rsidRPr="00D40709" w:rsidRDefault="007C3BD1" w:rsidP="00C67CBD">
            <w:pPr>
              <w:ind w:left="34"/>
              <w:jc w:val="both"/>
              <w:rPr>
                <w:rFonts w:ascii="Times New Roman" w:eastAsia="Times New Roman" w:hAnsi="Times New Roman" w:cs="Times New Roman"/>
                <w:noProof/>
                <w:highlight w:val="yellow"/>
              </w:rPr>
            </w:pPr>
            <w:r w:rsidRPr="00D40709">
              <w:rPr>
                <w:rFonts w:ascii="Times New Roman" w:eastAsia="Times New Roman" w:hAnsi="Times New Roman" w:cs="Times New Roman"/>
                <w:noProof/>
                <w:highlight w:val="yellow"/>
              </w:rPr>
              <w:t xml:space="preserve">Migracijos departamento duomenimis, 2017–2019 m. gauta 36 proc. daugiau užsieniečių prašymų suteikti prieglobstį nei  2014–2016 m, stipriai išaugo pasienio kontrolės punktuose pateikiamų nepagrįstų užsieniečių prašymų suteikti prieglobstį, kas skatina toliau investuoti į Lietuvos prieglobsčio sistemos apgyvendinimo ir priėmimo pajėgumų didinimą, taip pat </w:t>
            </w:r>
            <w:r w:rsidRPr="00D40709">
              <w:rPr>
                <w:rFonts w:ascii="Times New Roman" w:eastAsia="Times New Roman" w:hAnsi="Times New Roman" w:cs="Times New Roman"/>
                <w:b/>
                <w:noProof/>
                <w:highlight w:val="yellow"/>
              </w:rPr>
              <w:t>stiprinti prieglobsčio bylų  nagrinėjimo pajėgumus, konsoliduoti ir plėsti vertimo paslaugas, stiprinti procesines garantijas prieglobsčio prašytojams visose prieglobsčio procedūros stadijose (įskaitant procedūras pasienyje).</w:t>
            </w:r>
            <w:r w:rsidRPr="00D40709">
              <w:rPr>
                <w:rFonts w:ascii="Times New Roman" w:eastAsia="Times New Roman" w:hAnsi="Times New Roman" w:cs="Times New Roman"/>
                <w:noProof/>
                <w:highlight w:val="yellow"/>
              </w:rPr>
              <w:t xml:space="preserve"> Būtinos papildomos investicijos siekiant sukurti lankstų mechanizmą, galinti greitai reaguoti į besikeičiančius prieglobsčio prašytojų srautus ir kylančias krizes. </w:t>
            </w:r>
          </w:p>
          <w:p w:rsidR="007C3BD1" w:rsidRPr="00D40709" w:rsidRDefault="007C3BD1" w:rsidP="00C67CBD">
            <w:pPr>
              <w:ind w:left="34"/>
              <w:jc w:val="both"/>
              <w:rPr>
                <w:rFonts w:ascii="Times New Roman" w:eastAsia="Times New Roman" w:hAnsi="Times New Roman" w:cs="Times New Roman"/>
                <w:noProof/>
                <w:highlight w:val="yellow"/>
              </w:rPr>
            </w:pPr>
            <w:r w:rsidRPr="00D40709">
              <w:rPr>
                <w:rFonts w:ascii="Times New Roman" w:eastAsia="Times New Roman" w:hAnsi="Times New Roman" w:cs="Times New Roman"/>
                <w:noProof/>
                <w:highlight w:val="yellow"/>
              </w:rPr>
              <w:t>2014-2020 m. programavimo periodo metu baigtas statyti ir įrengtas pažeidžiamų prieglobsčio prašytojų bendrabutis, sukurtos laisvalaikio zonos lauke. Taip pat atliktas Užsieniečių registracijos centro prieglobsčio prašytojų bendrabučio remontas. Buvo plėtojami alternatyvūs apgyvendinimo modeliai – atnaujintas Ruklos pabėgėlių priėmimo centras ir prisidėta prie apgyvendinimo savivaldybėse pajėgumų plėtros. Iš viso sukurta arba atnaujinta 218 apgyvendinimo vietų.</w:t>
            </w:r>
          </w:p>
          <w:p w:rsidR="007C3BD1" w:rsidRPr="00D40709" w:rsidRDefault="007C3BD1" w:rsidP="00C67CBD">
            <w:pPr>
              <w:ind w:left="34"/>
              <w:jc w:val="both"/>
              <w:rPr>
                <w:rFonts w:ascii="Times New Roman" w:eastAsia="Times New Roman" w:hAnsi="Times New Roman" w:cs="Times New Roman"/>
                <w:noProof/>
                <w:highlight w:val="yellow"/>
              </w:rPr>
            </w:pPr>
            <w:r w:rsidRPr="00D40709">
              <w:rPr>
                <w:rFonts w:ascii="Times New Roman" w:eastAsia="Times New Roman" w:hAnsi="Times New Roman" w:cs="Times New Roman"/>
                <w:b/>
                <w:noProof/>
                <w:highlight w:val="yellow"/>
              </w:rPr>
              <w:t>Įvertinus didėjančius prieglbosčio prašytojų skaičius būtina plėsti apgyvendinimo infrastruktūrą ir papildomai investuoti į jau sukurtos infrastruktūros tobulinimą, laikantis papildomumo principų</w:t>
            </w:r>
            <w:r w:rsidRPr="00D40709">
              <w:rPr>
                <w:rFonts w:ascii="Times New Roman" w:eastAsia="Times New Roman" w:hAnsi="Times New Roman" w:cs="Times New Roman"/>
                <w:noProof/>
                <w:highlight w:val="yellow"/>
              </w:rPr>
              <w:t>.</w:t>
            </w:r>
          </w:p>
          <w:p w:rsidR="007C3BD1" w:rsidRPr="00D40709" w:rsidRDefault="007C3BD1" w:rsidP="00C67CBD">
            <w:pPr>
              <w:ind w:left="34"/>
              <w:jc w:val="both"/>
              <w:rPr>
                <w:rFonts w:ascii="Times New Roman" w:hAnsi="Times New Roman" w:cs="Times New Roman"/>
                <w:szCs w:val="24"/>
                <w:highlight w:val="yellow"/>
              </w:rPr>
            </w:pPr>
            <w:r w:rsidRPr="00D40709">
              <w:rPr>
                <w:rFonts w:ascii="Times New Roman" w:eastAsia="Times New Roman" w:hAnsi="Times New Roman" w:cs="Times New Roman"/>
                <w:noProof/>
                <w:highlight w:val="yellow"/>
              </w:rPr>
              <w:t xml:space="preserve">Užsieniečių registracijos centre, siekiant užtikrinti lankstumą ir gebėjimą reaguoti į kintančius srautus, </w:t>
            </w:r>
            <w:r w:rsidRPr="00D40709">
              <w:rPr>
                <w:rFonts w:ascii="Times New Roman" w:eastAsia="Times New Roman" w:hAnsi="Times New Roman" w:cs="Times New Roman"/>
                <w:b/>
                <w:noProof/>
                <w:highlight w:val="yellow"/>
              </w:rPr>
              <w:t>ketinama statyti multifunkcinį pastatą</w:t>
            </w:r>
            <w:r w:rsidRPr="00D40709">
              <w:rPr>
                <w:rFonts w:ascii="Times New Roman" w:eastAsia="Times New Roman" w:hAnsi="Times New Roman" w:cs="Times New Roman"/>
                <w:b/>
                <w:noProof/>
                <w:highlight w:val="yellow"/>
                <w:lang w:val="en-US"/>
              </w:rPr>
              <w:t>,</w:t>
            </w:r>
            <w:r w:rsidRPr="00D40709">
              <w:rPr>
                <w:rFonts w:ascii="Times New Roman" w:eastAsia="Times New Roman" w:hAnsi="Times New Roman" w:cs="Times New Roman"/>
                <w:noProof/>
                <w:highlight w:val="yellow"/>
                <w:lang w:val="en-US"/>
              </w:rPr>
              <w:t xml:space="preserve"> kuris būtų pritaikytas didelių prieglobsčio prašytojų šeimų apgyvendinimui ir kuriame taip pat būtų sukurta erdvė įvairaus pobūdžio užimtumo veiklų vykdymui. Siekiant gerinti apgyvendinimo sąlygas, papildomai ketinama </w:t>
            </w:r>
            <w:r w:rsidRPr="00D40709">
              <w:rPr>
                <w:rFonts w:ascii="Times New Roman" w:eastAsia="Times New Roman" w:hAnsi="Times New Roman" w:cs="Times New Roman"/>
                <w:b/>
                <w:noProof/>
                <w:highlight w:val="yellow"/>
                <w:lang w:val="en-US"/>
              </w:rPr>
              <w:t>investuoti į prieglobsčio prašytojų apgyvendinimo pastat</w:t>
            </w:r>
            <w:r w:rsidRPr="00D40709">
              <w:rPr>
                <w:rFonts w:ascii="Times New Roman" w:eastAsia="Times New Roman" w:hAnsi="Times New Roman" w:cs="Times New Roman"/>
                <w:b/>
                <w:noProof/>
                <w:highlight w:val="yellow"/>
              </w:rPr>
              <w:t>ų</w:t>
            </w:r>
            <w:r w:rsidRPr="00D40709">
              <w:rPr>
                <w:rFonts w:ascii="Times New Roman" w:eastAsia="Times New Roman" w:hAnsi="Times New Roman" w:cs="Times New Roman"/>
                <w:b/>
                <w:noProof/>
                <w:highlight w:val="yellow"/>
                <w:lang w:val="en-US"/>
              </w:rPr>
              <w:t xml:space="preserve"> tolimesnį remontą</w:t>
            </w:r>
            <w:r w:rsidRPr="00D40709">
              <w:rPr>
                <w:rFonts w:ascii="Times New Roman" w:eastAsia="Times New Roman" w:hAnsi="Times New Roman" w:cs="Times New Roman"/>
                <w:noProof/>
                <w:highlight w:val="yellow"/>
                <w:lang w:val="en-US"/>
              </w:rPr>
              <w:t xml:space="preserve"> Užsieniečių registracijos centre ir Pabėgėlių priėmimo centre.</w:t>
            </w:r>
            <w:r w:rsidRPr="00D40709">
              <w:rPr>
                <w:rFonts w:ascii="Times New Roman" w:hAnsi="Times New Roman" w:cs="Times New Roman"/>
                <w:szCs w:val="24"/>
                <w:highlight w:val="yellow"/>
              </w:rPr>
              <w:t xml:space="preserve"> Taip pat toliau </w:t>
            </w:r>
            <w:r w:rsidRPr="00D40709">
              <w:rPr>
                <w:rFonts w:ascii="Times New Roman" w:hAnsi="Times New Roman" w:cs="Times New Roman"/>
                <w:b/>
                <w:szCs w:val="24"/>
                <w:highlight w:val="yellow"/>
              </w:rPr>
              <w:t>planuojama plėtoti alternatyvaus apgyvendinimo savivaldybėse modelį.</w:t>
            </w:r>
            <w:r w:rsidRPr="00D40709">
              <w:rPr>
                <w:rFonts w:ascii="Times New Roman" w:hAnsi="Times New Roman" w:cs="Times New Roman"/>
                <w:szCs w:val="24"/>
                <w:highlight w:val="yellow"/>
              </w:rPr>
              <w:t xml:space="preserve"> </w:t>
            </w:r>
            <w:r w:rsidRPr="00D40709">
              <w:rPr>
                <w:rFonts w:ascii="Times New Roman" w:eastAsia="Times New Roman" w:hAnsi="Times New Roman" w:cs="Times New Roman"/>
                <w:noProof/>
                <w:highlight w:val="yellow"/>
              </w:rPr>
              <w:t xml:space="preserve">2014-2020 m. programavimo periodo metu buvo įgyvendintas pilotinis projektas, kurio metu prieglobsčio prašytojams </w:t>
            </w:r>
            <w:r w:rsidRPr="00D40709">
              <w:rPr>
                <w:rFonts w:ascii="Times New Roman" w:eastAsia="Times New Roman" w:hAnsi="Times New Roman" w:cs="Times New Roman"/>
                <w:noProof/>
                <w:highlight w:val="yellow"/>
              </w:rPr>
              <w:lastRenderedPageBreak/>
              <w:t>sudaryta galimybė apsigyventi savivaldybėse nevyriausybinių organizacijų nuomojamuose butuose, Jungtinių Tautų atlikto vertinimo metu padaryta išvada, kad šis modelis pasiteisino (pagal preliminarias išvadas per beveik du modelio įgyvendinimo metus iš Lietuvos savavališkai pasitraukė tik 3 prieglobsčio prašytojai, t.y. 4,5 % dalyvavusių asmenų). Taigi planuojama tęsti ir plėtoti šį apgyvendinimo modelį.</w:t>
            </w:r>
          </w:p>
          <w:p w:rsidR="007C3BD1" w:rsidRPr="00D40709" w:rsidRDefault="007C3BD1" w:rsidP="00C67CBD">
            <w:pPr>
              <w:ind w:left="34"/>
              <w:jc w:val="both"/>
              <w:rPr>
                <w:rFonts w:ascii="Times New Roman" w:hAnsi="Times New Roman" w:cs="Times New Roman"/>
                <w:szCs w:val="24"/>
                <w:highlight w:val="yellow"/>
              </w:rPr>
            </w:pPr>
            <w:r w:rsidRPr="00D40709">
              <w:rPr>
                <w:rFonts w:ascii="Times New Roman" w:hAnsi="Times New Roman" w:cs="Times New Roman"/>
                <w:szCs w:val="24"/>
                <w:highlight w:val="yellow"/>
              </w:rPr>
              <w:t xml:space="preserve">Papildomos investicijos planuojamos, siekiant pasiruošti krizinių situacijų valdymui ir sukurti lengvai įveiklinamą erdvę apgyvendinimo ir priėmimo paslaugoms teikti. </w:t>
            </w:r>
            <w:r w:rsidRPr="00D40709">
              <w:rPr>
                <w:rFonts w:ascii="Times New Roman" w:hAnsi="Times New Roman" w:cs="Times New Roman"/>
                <w:b/>
                <w:szCs w:val="24"/>
                <w:highlight w:val="yellow"/>
              </w:rPr>
              <w:t>Siekiant d</w:t>
            </w:r>
            <w:r w:rsidRPr="00D40709">
              <w:rPr>
                <w:rFonts w:ascii="Times New Roman" w:hAnsi="Times New Roman" w:cs="Times New Roman"/>
                <w:b/>
                <w:noProof/>
                <w:highlight w:val="yellow"/>
              </w:rPr>
              <w:t xml:space="preserve">idinti prieglobsčio sistemos lankstumą, visų pirma – parengiant būtinas erdves laikinai apgyvendinimo infrastruktūrai, taip pat laikino būsto įrengimui. </w:t>
            </w:r>
          </w:p>
          <w:p w:rsidR="007C3BD1" w:rsidRPr="00D40709" w:rsidRDefault="007C3BD1" w:rsidP="00C67CBD">
            <w:pPr>
              <w:ind w:left="34"/>
              <w:jc w:val="both"/>
              <w:rPr>
                <w:rFonts w:ascii="Times New Roman" w:eastAsia="Times New Roman" w:hAnsi="Times New Roman" w:cs="Times New Roman"/>
                <w:noProof/>
                <w:highlight w:val="yellow"/>
              </w:rPr>
            </w:pPr>
            <w:r w:rsidRPr="00D40709">
              <w:rPr>
                <w:rFonts w:ascii="Times New Roman" w:eastAsia="Times New Roman" w:hAnsi="Times New Roman" w:cs="Times New Roman"/>
                <w:noProof/>
                <w:highlight w:val="yellow"/>
              </w:rPr>
              <w:t xml:space="preserve">Siekiant sukurti tinkamas sąlygas vykdyti prieglobsčio prašytojų apklausoms 2014-2020 m. programavimo periodo metu baigti kontrolinio praėjimo punkto Užsieniečių registracijos centre statybos darbai. Siekiant užtikrinti greitą ir kokybišką prieglobsčio procedūrų vykdymą įsigyta EURODAC įranga. Buvo investuojama į specialistų kompetencijų kėlimą (190 asmenų išklausė mokymus prieglobsčio srities temomis) ir stiprinami Migracijos departamento pajėgumai rinkti ir administruoti statistiną informaciją bei informaciją apie kilmės šalis. </w:t>
            </w:r>
            <w:r w:rsidRPr="00D40709">
              <w:rPr>
                <w:rFonts w:ascii="Times New Roman" w:eastAsia="Times New Roman" w:hAnsi="Times New Roman" w:cs="Times New Roman"/>
                <w:b/>
                <w:noProof/>
                <w:highlight w:val="yellow"/>
                <w:lang w:val="en-US"/>
              </w:rPr>
              <w:t>Papildomai ketinama investuoti į Valstybės sienos apsaugos tarnybai ir Migracijos departamentui reikalingas priemones efektyvesniam darbui</w:t>
            </w:r>
            <w:r w:rsidRPr="00D40709">
              <w:rPr>
                <w:rFonts w:ascii="Times New Roman" w:eastAsia="Times New Roman" w:hAnsi="Times New Roman" w:cs="Times New Roman"/>
                <w:noProof/>
                <w:highlight w:val="yellow"/>
                <w:lang w:val="en-US"/>
              </w:rPr>
              <w:t xml:space="preserve"> (transporto priemonės, nešiojami kompiuteriai, vertimo iš užsienio kalbų įrenginiai, nešiojami „Eurodac“ įrenginiai) ir </w:t>
            </w:r>
            <w:r w:rsidRPr="00D40709">
              <w:rPr>
                <w:rFonts w:ascii="Times New Roman" w:eastAsia="Times New Roman" w:hAnsi="Times New Roman" w:cs="Times New Roman"/>
                <w:b/>
                <w:noProof/>
                <w:highlight w:val="yellow"/>
                <w:lang w:val="en-US"/>
              </w:rPr>
              <w:t>prieglobsčio srityje veikiančių institucijų, nevyriausybinių institucijų ir kitų specialistų (teis</w:t>
            </w:r>
            <w:r w:rsidRPr="00D40709">
              <w:rPr>
                <w:rFonts w:ascii="Times New Roman" w:eastAsia="Times New Roman" w:hAnsi="Times New Roman" w:cs="Times New Roman"/>
                <w:b/>
                <w:noProof/>
                <w:highlight w:val="yellow"/>
              </w:rPr>
              <w:t xml:space="preserve">ėjai, psichologai viešąsias paslaugas teikiančios įstaigos, NVO ir pan.) </w:t>
            </w:r>
            <w:r w:rsidRPr="00D40709">
              <w:rPr>
                <w:rFonts w:ascii="Times New Roman" w:eastAsia="Times New Roman" w:hAnsi="Times New Roman" w:cs="Times New Roman"/>
                <w:b/>
                <w:noProof/>
                <w:highlight w:val="yellow"/>
                <w:lang w:val="en-US"/>
              </w:rPr>
              <w:t>kompetencijų didinimą ir bendradarbiavimo iniciatyvas.</w:t>
            </w:r>
            <w:r w:rsidRPr="00D40709">
              <w:rPr>
                <w:rFonts w:ascii="Times New Roman" w:eastAsia="Times New Roman" w:hAnsi="Times New Roman" w:cs="Times New Roman"/>
                <w:noProof/>
                <w:highlight w:val="yellow"/>
                <w:lang w:val="en-US"/>
              </w:rPr>
              <w:t xml:space="preserve">  Didesnis dėmesys planuojamas skirti siekiant didinti teisinės pagalbos trečiųjų šalių piliečiams kokybę (ketinama inicijuoti pilotinį projektą, užtikrinantį ekspertizės ir paslaugų, įskaitant teisinę pagalbą, teikimą pradiniu prieglobsčio procedūros laikotarpiu tiek institucijoms, tiek tikslinei grupei, didinant Nacionalinės teismų administracijos ir Lietuvos advokatūros įsitraukimą). </w:t>
            </w:r>
            <w:r w:rsidRPr="00D40709">
              <w:rPr>
                <w:rFonts w:ascii="Times New Roman" w:eastAsia="Times New Roman" w:hAnsi="Times New Roman" w:cs="Times New Roman"/>
                <w:noProof/>
                <w:highlight w:val="yellow"/>
              </w:rPr>
              <w:t>Papildomos investicijos planuojamos siekiant stiprinti pažeidžiamų prieglobsčio prašytojų identifikavimo ir pagalbos jiems sistemą, specialistų kompetencijų kėlimą.</w:t>
            </w:r>
          </w:p>
          <w:p w:rsidR="007C3BD1" w:rsidRPr="00D40709" w:rsidRDefault="007C3BD1" w:rsidP="00C67CBD">
            <w:pPr>
              <w:ind w:left="34"/>
              <w:jc w:val="both"/>
              <w:rPr>
                <w:rFonts w:ascii="Times New Roman" w:hAnsi="Times New Roman" w:cs="Times New Roman"/>
                <w:b/>
                <w:szCs w:val="24"/>
                <w:highlight w:val="yellow"/>
              </w:rPr>
            </w:pPr>
            <w:r w:rsidRPr="00D40709">
              <w:rPr>
                <w:rFonts w:ascii="Times New Roman" w:eastAsia="Times New Roman" w:hAnsi="Times New Roman" w:cs="Times New Roman"/>
                <w:noProof/>
                <w:highlight w:val="yellow"/>
              </w:rPr>
              <w:t xml:space="preserve">2014-2020 m. programavimo periodo metu daugiau nei 1000 tikslinei grupei priklausančių asmenų buvo </w:t>
            </w:r>
            <w:r w:rsidRPr="00D40709">
              <w:rPr>
                <w:rFonts w:ascii="Times New Roman" w:eastAsia="Times New Roman" w:hAnsi="Times New Roman" w:cs="Times New Roman"/>
                <w:b/>
                <w:noProof/>
                <w:highlight w:val="yellow"/>
              </w:rPr>
              <w:t>teikiamos įvairios paslaugos</w:t>
            </w:r>
            <w:r w:rsidRPr="00D40709">
              <w:rPr>
                <w:rFonts w:ascii="Times New Roman" w:eastAsia="Times New Roman" w:hAnsi="Times New Roman" w:cs="Times New Roman"/>
                <w:noProof/>
                <w:highlight w:val="yellow"/>
              </w:rPr>
              <w:t xml:space="preserve"> (teisinės, vertimo, socialinės, psichologinė ir pan.). Paslaugų teikimą ir jų kokybės ir apimties didinimą būtina užtikrinti ir kito periodo metu (humanitarinė pagalba, teisinės, vertimo, psichologinės, sveikatos apsaugos paslaugos, kompiuterinių klasių įrengimas, kitos svarbios priemonės). Paslaugos ir toliau bus teikiamos </w:t>
            </w:r>
            <w:r w:rsidRPr="00D40709">
              <w:rPr>
                <w:rFonts w:ascii="Times New Roman" w:eastAsia="Times New Roman" w:hAnsi="Times New Roman" w:cs="Times New Roman"/>
                <w:noProof/>
                <w:highlight w:val="yellow"/>
                <w:lang w:val="en-US"/>
              </w:rPr>
              <w:t>Valstybės sienos apsaugos tarnybos struktūriniuose padaliniuose, Pabėgėlių priėmimo centre</w:t>
            </w:r>
            <w:r w:rsidRPr="00D40709">
              <w:rPr>
                <w:rFonts w:ascii="Times New Roman" w:eastAsia="Times New Roman" w:hAnsi="Times New Roman" w:cs="Times New Roman"/>
                <w:noProof/>
                <w:highlight w:val="yellow"/>
              </w:rPr>
              <w:t>, Migracijos departamente</w:t>
            </w:r>
            <w:r w:rsidRPr="00D40709">
              <w:rPr>
                <w:rFonts w:ascii="Times New Roman" w:hAnsi="Times New Roman" w:cs="Times New Roman"/>
                <w:szCs w:val="24"/>
                <w:highlight w:val="yellow"/>
              </w:rPr>
              <w:t>, taip pat papildomos lėšos skiriamos nevyriausybinėms organizacijoms, siekiant išlaikyti paslaugų papildomumą ir kompleksiškumą</w:t>
            </w:r>
            <w:r w:rsidRPr="00D40709">
              <w:rPr>
                <w:rFonts w:ascii="Times New Roman" w:hAnsi="Times New Roman" w:cs="Times New Roman"/>
                <w:szCs w:val="24"/>
                <w:highlight w:val="yellow"/>
                <w:lang w:val="en-US"/>
              </w:rPr>
              <w:t>.</w:t>
            </w:r>
            <w:proofErr w:type="spellStart"/>
            <w:r w:rsidRPr="00D40709">
              <w:rPr>
                <w:rFonts w:ascii="Times New Roman" w:hAnsi="Times New Roman" w:cs="Times New Roman"/>
                <w:szCs w:val="24"/>
                <w:highlight w:val="yellow"/>
                <w:lang w:val="en-US"/>
              </w:rPr>
              <w:t>Ypatingas</w:t>
            </w:r>
            <w:proofErr w:type="spellEnd"/>
            <w:r w:rsidRPr="00D40709">
              <w:rPr>
                <w:rFonts w:ascii="Times New Roman" w:hAnsi="Times New Roman" w:cs="Times New Roman"/>
                <w:szCs w:val="24"/>
                <w:highlight w:val="yellow"/>
                <w:lang w:val="en-US"/>
              </w:rPr>
              <w:t xml:space="preserve"> </w:t>
            </w:r>
            <w:proofErr w:type="spellStart"/>
            <w:r w:rsidRPr="00D40709">
              <w:rPr>
                <w:rFonts w:ascii="Times New Roman" w:hAnsi="Times New Roman" w:cs="Times New Roman"/>
                <w:szCs w:val="24"/>
                <w:highlight w:val="yellow"/>
                <w:lang w:val="en-US"/>
              </w:rPr>
              <w:t>dėmesys</w:t>
            </w:r>
            <w:proofErr w:type="spellEnd"/>
            <w:r w:rsidRPr="00D40709">
              <w:rPr>
                <w:rFonts w:ascii="Times New Roman" w:hAnsi="Times New Roman" w:cs="Times New Roman"/>
                <w:szCs w:val="24"/>
                <w:highlight w:val="yellow"/>
                <w:lang w:val="en-US"/>
              </w:rPr>
              <w:t xml:space="preserve"> bus </w:t>
            </w:r>
            <w:proofErr w:type="spellStart"/>
            <w:r w:rsidRPr="00D40709">
              <w:rPr>
                <w:rFonts w:ascii="Times New Roman" w:hAnsi="Times New Roman" w:cs="Times New Roman"/>
                <w:szCs w:val="24"/>
                <w:highlight w:val="yellow"/>
                <w:lang w:val="en-US"/>
              </w:rPr>
              <w:t>skiriamas</w:t>
            </w:r>
            <w:proofErr w:type="spellEnd"/>
            <w:r w:rsidRPr="00D40709">
              <w:rPr>
                <w:rFonts w:ascii="Times New Roman" w:hAnsi="Times New Roman" w:cs="Times New Roman"/>
                <w:szCs w:val="24"/>
                <w:highlight w:val="yellow"/>
                <w:lang w:val="en-US"/>
              </w:rPr>
              <w:t xml:space="preserve"> </w:t>
            </w:r>
            <w:proofErr w:type="spellStart"/>
            <w:r w:rsidRPr="00D40709">
              <w:rPr>
                <w:rFonts w:ascii="Times New Roman" w:hAnsi="Times New Roman" w:cs="Times New Roman"/>
                <w:szCs w:val="24"/>
                <w:highlight w:val="yellow"/>
                <w:lang w:val="en-US"/>
              </w:rPr>
              <w:t>pažeidžiamų</w:t>
            </w:r>
            <w:proofErr w:type="spellEnd"/>
            <w:r w:rsidRPr="00D40709">
              <w:rPr>
                <w:rFonts w:ascii="Times New Roman" w:hAnsi="Times New Roman" w:cs="Times New Roman"/>
                <w:szCs w:val="24"/>
                <w:highlight w:val="yellow"/>
                <w:lang w:val="en-US"/>
              </w:rPr>
              <w:t xml:space="preserve"> </w:t>
            </w:r>
            <w:proofErr w:type="spellStart"/>
            <w:r w:rsidRPr="00D40709">
              <w:rPr>
                <w:rFonts w:ascii="Times New Roman" w:hAnsi="Times New Roman" w:cs="Times New Roman"/>
                <w:szCs w:val="24"/>
                <w:highlight w:val="yellow"/>
                <w:lang w:val="en-US"/>
              </w:rPr>
              <w:t>prieglobsčio</w:t>
            </w:r>
            <w:proofErr w:type="spellEnd"/>
            <w:r w:rsidRPr="00D40709">
              <w:rPr>
                <w:rFonts w:ascii="Times New Roman" w:hAnsi="Times New Roman" w:cs="Times New Roman"/>
                <w:szCs w:val="24"/>
                <w:highlight w:val="yellow"/>
                <w:lang w:val="en-US"/>
              </w:rPr>
              <w:t xml:space="preserve"> </w:t>
            </w:r>
            <w:proofErr w:type="spellStart"/>
            <w:r w:rsidRPr="00D40709">
              <w:rPr>
                <w:rFonts w:ascii="Times New Roman" w:hAnsi="Times New Roman" w:cs="Times New Roman"/>
                <w:szCs w:val="24"/>
                <w:highlight w:val="yellow"/>
                <w:lang w:val="en-US"/>
              </w:rPr>
              <w:t>prašytojų</w:t>
            </w:r>
            <w:proofErr w:type="spellEnd"/>
            <w:r w:rsidRPr="00D40709">
              <w:rPr>
                <w:rFonts w:ascii="Times New Roman" w:hAnsi="Times New Roman" w:cs="Times New Roman"/>
                <w:szCs w:val="24"/>
                <w:highlight w:val="yellow"/>
                <w:lang w:val="en-US"/>
              </w:rPr>
              <w:t xml:space="preserve"> </w:t>
            </w:r>
            <w:r w:rsidRPr="00D40709">
              <w:rPr>
                <w:rFonts w:ascii="Times New Roman" w:hAnsi="Times New Roman" w:cs="Times New Roman"/>
                <w:szCs w:val="24"/>
                <w:highlight w:val="yellow"/>
              </w:rPr>
              <w:t xml:space="preserve">identifikavimo ir pagalbos jiems sistemos tobulinimą, skiriant ypatingą dėmesį asmenims, patyrusiems kankinimus, žaginimus ar kitokį rimto pobūdžio psichologinį, fizinį ar seksualinį smurtą. </w:t>
            </w:r>
            <w:r w:rsidRPr="00D40709">
              <w:rPr>
                <w:rFonts w:ascii="Times New Roman" w:hAnsi="Times New Roman" w:cs="Times New Roman"/>
                <w:b/>
                <w:szCs w:val="24"/>
                <w:highlight w:val="yellow"/>
              </w:rPr>
              <w:t>Siekiant nuolatinio prieglobsčio sistemos tobulinimo Lietuvoje bus ir toliau finansuojama priėmimo sąlygų stėbėsena ir atliekami vertinimai</w:t>
            </w:r>
            <w:r w:rsidRPr="00D40709">
              <w:rPr>
                <w:rFonts w:ascii="Times New Roman" w:hAnsi="Times New Roman" w:cs="Times New Roman"/>
                <w:b/>
                <w:noProof/>
                <w:highlight w:val="yellow"/>
                <w:lang w:val="en-US"/>
              </w:rPr>
              <w:t>.</w:t>
            </w:r>
          </w:p>
        </w:tc>
      </w:tr>
    </w:tbl>
    <w:p w:rsidR="00D40709" w:rsidRDefault="00D40709" w:rsidP="00D40709">
      <w:pPr>
        <w:spacing w:after="0" w:line="240" w:lineRule="auto"/>
        <w:jc w:val="both"/>
        <w:rPr>
          <w:rFonts w:ascii="Times New Roman" w:eastAsia="Times New Roman" w:hAnsi="Times New Roman" w:cs="Times New Roman"/>
          <w:b/>
          <w:sz w:val="24"/>
          <w:szCs w:val="24"/>
          <w:lang w:eastAsia="lt-LT"/>
        </w:rPr>
      </w:pPr>
    </w:p>
    <w:p w:rsidR="00D40709" w:rsidRPr="0088411E" w:rsidRDefault="00D40709" w:rsidP="00D40709">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2.1.2 Indicators</w:t>
      </w:r>
    </w:p>
    <w:tbl>
      <w:tblPr>
        <w:tblW w:w="11910" w:type="dxa"/>
        <w:tblLayout w:type="fixed"/>
        <w:tblCellMar>
          <w:left w:w="0" w:type="dxa"/>
          <w:right w:w="0" w:type="dxa"/>
        </w:tblCellMar>
        <w:tblLook w:val="04A0" w:firstRow="1" w:lastRow="0" w:firstColumn="1" w:lastColumn="0" w:noHBand="0" w:noVBand="1"/>
      </w:tblPr>
      <w:tblGrid>
        <w:gridCol w:w="1101"/>
        <w:gridCol w:w="992"/>
        <w:gridCol w:w="236"/>
        <w:gridCol w:w="1040"/>
        <w:gridCol w:w="284"/>
        <w:gridCol w:w="1275"/>
        <w:gridCol w:w="284"/>
        <w:gridCol w:w="1133"/>
        <w:gridCol w:w="284"/>
        <w:gridCol w:w="850"/>
        <w:gridCol w:w="284"/>
        <w:gridCol w:w="425"/>
        <w:gridCol w:w="851"/>
        <w:gridCol w:w="430"/>
        <w:gridCol w:w="278"/>
        <w:gridCol w:w="56"/>
        <w:gridCol w:w="1823"/>
        <w:gridCol w:w="284"/>
      </w:tblGrid>
      <w:tr w:rsidR="00D40709" w:rsidRPr="0088411E" w:rsidTr="00237FBD">
        <w:trPr>
          <w:gridAfter w:val="3"/>
          <w:wAfter w:w="2163" w:type="dxa"/>
        </w:trPr>
        <w:tc>
          <w:tcPr>
            <w:tcW w:w="9747"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Table 1: Output indicators</w:t>
            </w:r>
          </w:p>
        </w:tc>
      </w:tr>
      <w:tr w:rsidR="00D40709" w:rsidRPr="00D40709" w:rsidTr="00237FBD">
        <w:trPr>
          <w:gridAfter w:val="3"/>
          <w:wAfter w:w="2163"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Specific objective</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ID [5]</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ind w:left="34"/>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Indicator [255]</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Measurement unit</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Milestone (2024)</w:t>
            </w:r>
          </w:p>
        </w:tc>
        <w:tc>
          <w:tcPr>
            <w:tcW w:w="340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Target (2029)</w:t>
            </w:r>
          </w:p>
        </w:tc>
      </w:tr>
      <w:tr w:rsidR="00D40709" w:rsidRPr="00D40709" w:rsidTr="00237FBD">
        <w:trPr>
          <w:gridAfter w:val="3"/>
          <w:wAfter w:w="2163"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ind w:left="34"/>
              <w:jc w:val="both"/>
              <w:rPr>
                <w:rFonts w:ascii="Times New Roman" w:eastAsia="Times New Roman" w:hAnsi="Times New Roman" w:cs="Times New Roman"/>
                <w:sz w:val="20"/>
                <w:szCs w:val="24"/>
                <w:lang w:eastAsia="lt-L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340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D40709" w:rsidTr="00237FBD">
        <w:trPr>
          <w:gridAfter w:val="8"/>
          <w:wAfter w:w="4431"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tabs>
                <w:tab w:val="left" w:pos="111"/>
              </w:tabs>
              <w:spacing w:after="0" w:line="240" w:lineRule="auto"/>
              <w:rPr>
                <w:rFonts w:ascii="Times New Roman" w:eastAsia="Times New Roman" w:hAnsi="Times New Roman" w:cs="Times New Roman"/>
                <w:sz w:val="20"/>
                <w:szCs w:val="24"/>
                <w:lang w:eastAsia="lt-LT"/>
              </w:rPr>
            </w:pP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r>
      <w:tr w:rsidR="00D40709" w:rsidRPr="0088411E" w:rsidTr="00237FBD">
        <w:trPr>
          <w:gridAfter w:val="1"/>
          <w:wAfter w:w="284" w:type="dxa"/>
        </w:trPr>
        <w:tc>
          <w:tcPr>
            <w:tcW w:w="11626" w:type="dxa"/>
            <w:gridSpan w:val="17"/>
            <w:shd w:val="clear" w:color="auto" w:fill="auto"/>
            <w:tcMar>
              <w:top w:w="0" w:type="dxa"/>
              <w:left w:w="108" w:type="dxa"/>
              <w:bottom w:w="0" w:type="dxa"/>
              <w:right w:w="108" w:type="dxa"/>
            </w:tcMar>
            <w:hideMark/>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Table 2: Result indicators</w:t>
            </w:r>
          </w:p>
        </w:tc>
      </w:tr>
      <w:tr w:rsidR="00D40709" w:rsidRPr="00D40709" w:rsidTr="00237FBD">
        <w:trPr>
          <w:gridAfter w:val="3"/>
          <w:wAfter w:w="2163" w:type="dxa"/>
        </w:trPr>
        <w:tc>
          <w:tcPr>
            <w:tcW w:w="11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Specific objective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ID [5]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Indicator [255]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Measurement unit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Baseline or reference value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Reference year</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Target (2029)</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Source of data [200]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Comments [200]</w:t>
            </w:r>
          </w:p>
        </w:tc>
      </w:tr>
      <w:tr w:rsidR="00D40709" w:rsidRPr="00D40709" w:rsidTr="00237FBD">
        <w:trPr>
          <w:gridAfter w:val="3"/>
          <w:wAfter w:w="2163" w:type="dxa"/>
        </w:trPr>
        <w:tc>
          <w:tcPr>
            <w:tcW w:w="11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D40709" w:rsidTr="00237FBD">
        <w:tc>
          <w:tcPr>
            <w:tcW w:w="2093"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236" w:type="dxa"/>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32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706" w:type="dxa"/>
            <w:gridSpan w:val="3"/>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33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2107"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r>
    </w:tbl>
    <w:p w:rsidR="00D40709" w:rsidRDefault="00D40709" w:rsidP="00D40709">
      <w:pPr>
        <w:spacing w:after="0" w:line="240" w:lineRule="auto"/>
        <w:jc w:val="both"/>
        <w:rPr>
          <w:rFonts w:ascii="Times New Roman" w:eastAsia="Times New Roman" w:hAnsi="Times New Roman" w:cs="Times New Roman"/>
          <w:sz w:val="24"/>
          <w:szCs w:val="24"/>
          <w:lang w:eastAsia="lt-LT"/>
        </w:rPr>
      </w:pPr>
    </w:p>
    <w:p w:rsidR="00D40709" w:rsidRPr="0088411E" w:rsidRDefault="00D40709" w:rsidP="00D40709">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2.1.3 Indicative breakdown of the programme resources (EU) by type of intervention</w:t>
      </w:r>
    </w:p>
    <w:p w:rsidR="00D40709" w:rsidRDefault="00D40709" w:rsidP="00D40709">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17(5) and Article 10(16) of the BMVI Regulation or Article 10(9) of the ISF Regulation or Article 10(8) of the AMIF Regulation</w:t>
      </w:r>
    </w:p>
    <w:p w:rsidR="00D40709" w:rsidRPr="0088411E" w:rsidRDefault="00D40709" w:rsidP="00D40709">
      <w:pPr>
        <w:spacing w:after="0" w:line="240" w:lineRule="auto"/>
        <w:jc w:val="both"/>
        <w:rPr>
          <w:rFonts w:ascii="Times New Roman" w:eastAsia="Times New Roman" w:hAnsi="Times New Roman" w:cs="Times New Roman"/>
          <w:sz w:val="24"/>
          <w:szCs w:val="24"/>
          <w:lang w:eastAsia="lt-LT"/>
        </w:rPr>
      </w:pPr>
    </w:p>
    <w:tbl>
      <w:tblPr>
        <w:tblW w:w="9534" w:type="dxa"/>
        <w:tblCellMar>
          <w:left w:w="0" w:type="dxa"/>
          <w:right w:w="0" w:type="dxa"/>
        </w:tblCellMar>
        <w:tblLook w:val="04A0" w:firstRow="1" w:lastRow="0" w:firstColumn="1" w:lastColumn="0" w:noHBand="0" w:noVBand="1"/>
      </w:tblPr>
      <w:tblGrid>
        <w:gridCol w:w="2542"/>
        <w:gridCol w:w="2784"/>
        <w:gridCol w:w="904"/>
        <w:gridCol w:w="3304"/>
      </w:tblGrid>
      <w:tr w:rsidR="00D40709" w:rsidRPr="0088411E" w:rsidTr="00237FBD">
        <w:tc>
          <w:tcPr>
            <w:tcW w:w="95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3</w:t>
            </w:r>
          </w:p>
        </w:tc>
      </w:tr>
      <w:tr w:rsidR="00D40709" w:rsidRPr="0088411E"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Specific objective</w:t>
            </w: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Indicative amount (Euro)</w:t>
            </w:r>
          </w:p>
        </w:tc>
      </w:tr>
      <w:tr w:rsidR="00D40709" w:rsidRPr="0088411E"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r>
    </w:tbl>
    <w:p w:rsidR="00D40709" w:rsidRDefault="00D40709" w:rsidP="00D40709">
      <w:pPr>
        <w:spacing w:after="0" w:line="240" w:lineRule="auto"/>
        <w:ind w:left="468"/>
        <w:jc w:val="both"/>
        <w:rPr>
          <w:rFonts w:ascii="Times New Roman" w:eastAsia="Times New Roman" w:hAnsi="Times New Roman" w:cs="Times New Roman"/>
          <w:sz w:val="24"/>
          <w:szCs w:val="24"/>
          <w:lang w:eastAsia="lt-LT"/>
        </w:rPr>
      </w:pPr>
    </w:p>
    <w:p w:rsidR="00D40709" w:rsidRPr="0088411E" w:rsidRDefault="00D40709" w:rsidP="007C3BD1">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2.2</w:t>
      </w:r>
      <w:r w:rsidRPr="0088411E">
        <w:rPr>
          <w:rFonts w:ascii="Times New Roman" w:eastAsia="Times New Roman" w:hAnsi="Times New Roman" w:cs="Times New Roman"/>
          <w:b/>
          <w:sz w:val="24"/>
          <w:szCs w:val="24"/>
          <w:lang w:eastAsia="lt-LT"/>
        </w:rPr>
        <w:t>. Title of the specific objective [300]</w:t>
      </w:r>
    </w:p>
    <w:p w:rsidR="00D40709" w:rsidRPr="0088411E" w:rsidRDefault="00D40709" w:rsidP="007C3BD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2.2</w:t>
      </w:r>
      <w:r w:rsidRPr="0088411E">
        <w:rPr>
          <w:rFonts w:ascii="Times New Roman" w:eastAsia="Times New Roman" w:hAnsi="Times New Roman" w:cs="Times New Roman"/>
          <w:b/>
          <w:sz w:val="24"/>
          <w:szCs w:val="24"/>
          <w:lang w:eastAsia="lt-LT"/>
        </w:rPr>
        <w:t>.1. Description of a specific objective</w:t>
      </w:r>
    </w:p>
    <w:tbl>
      <w:tblPr>
        <w:tblW w:w="9747" w:type="dxa"/>
        <w:tblInd w:w="-100" w:type="dxa"/>
        <w:tblCellMar>
          <w:left w:w="0" w:type="dxa"/>
          <w:right w:w="0" w:type="dxa"/>
        </w:tblCellMar>
        <w:tblLook w:val="04A0" w:firstRow="1" w:lastRow="0" w:firstColumn="1" w:lastColumn="0" w:noHBand="0" w:noVBand="1"/>
      </w:tblPr>
      <w:tblGrid>
        <w:gridCol w:w="9747"/>
      </w:tblGrid>
      <w:tr w:rsidR="007C3BD1" w:rsidRPr="0088411E" w:rsidTr="007C3BD1">
        <w:tc>
          <w:tcPr>
            <w:tcW w:w="9747" w:type="dxa"/>
            <w:tcBorders>
              <w:top w:val="single" w:sz="6" w:space="0" w:color="000000"/>
              <w:left w:val="single" w:sz="6" w:space="0" w:color="000000"/>
              <w:bottom w:val="single" w:sz="6" w:space="0" w:color="000000"/>
              <w:right w:val="single" w:sz="6" w:space="0" w:color="000000"/>
            </w:tcBorders>
          </w:tcPr>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Didėjant užsieniečių skaičiui Lietuvoje, būtina papildomai investuoti į efektyvesnę ir labiau kompleksinę integracijos sistemą ir jos sinergijos su nacionalinėmis paslaugų teikimo sistemomis stiprinimą. 2014-2020 m. programavimo periodo metu buvo investuota į integracijos strategijos nacionaliniu lygiu tobulinimą ir savivaldybių kompetencijų ir strategijų užsieniečių integracijos srityje stiprinimą. Taip pat buvo atliekami vertinimai ir keliamos įvairių integracijos srityje veikiančių institucijų kompetencijos, skatinama jų tinklaveika, siekiant užtikrinti vykdomų veiklų papildomumą ir efektyvumą.</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Siekiant pagerinti trečiųjų šalių piliečių kalbos įgūdžius ir kitas kompetencijas, santykius tarp su vietos bendruomene bei integracijos/teisėtos migracijos srityje dirbančių specialistų kompetenciją, įgyvendinant PMIF projektus buvo gerinamas informacijos prieinamumas įvairioms suinteresuotoms šalims bei tikslinei grupei. Sukurta migracijos ir integracijos informacinė platforma, kurioje pateikiama su migracija ir integracija susijusi informacija. Taip pat, siekiant pagerinti santykius ir tarpusavio supratimą tarp TŠP ir Lietuvos visuomenės, įgyvendintas tolerancijos skatinimo projektas. Lietuvos Pabėgelių priėmimo centre buvo teikiamos kompleksinės paslaugos (teisinės, sveikatos, kalbos ir pilietinio orientavimosi mokymai, informacija, konsultacijos ir pan.) Savivaldybėse (Vilniuje, Kaune ir Klaipėdoje) veikė trys nevyriausybinių organizacijų TŠP integracijos centrai, kuriuose paslaugos trečiųjų šalių pileičiams buvo teikiamos, jiems iš Pabėgėlių priėmimo centro persikėlus į savivaldybes. Buvo teikiamos kompleksinės paslaugos tikslinei grupei (kalbos mokymo, informavimo konsultavimo, pilietinio orientavimo mokymai ir t.t.)</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Projekto „Nacionalinio integracijos vertinimo mechanizmo“ (National Integration Evaluation Mechanism) rezultatai atskleidžia, kad Lietuva turi tinkamą ir pakankamai gerą teisinę prieglobsčio gavėjų integracijos bazę, tačiau vis dar susiduria su sunkumais įgyvendindama integracijos politiką; daugiausiai iššūkių kyla įgyvendinant strateginius (ilgalaikės) prieglobsčio gavėjų integracijos tikslus. Tegiamai įvertintas priimtas nacionalinis Užsieniečių integracijos į visuomenę 2018-2020 metų planas ir jame numatytos priemonės užimtumo srityje (darbdavių mokymai), sveikatos priežiūros ir švietimo srityse (specialistų mokymai, švietimo įstaigų tinklaveikos skatinimas ir metodikų rengimas). Vis dėl to išlieka poreikis toliau investuoti į pradėtas iniciatyvas ir stiprinti integracijos sistemą. Pats integracijos procesas Lietuvoje išlieka fragmentiškas ir sąlygotas tarpinstitucinio bendradarbiamimo ir lyderystės trūkumo. Papildomų investicijų reikalauja integracijos modelio vystymas ir ilgalaikės stebėsenos sistemos sukūrimas. </w:t>
            </w:r>
          </w:p>
          <w:p w:rsidR="007C3BD1" w:rsidRPr="007C3BD1" w:rsidRDefault="007C3BD1" w:rsidP="00C67CBD">
            <w:pPr>
              <w:spacing w:after="80"/>
              <w:jc w:val="both"/>
              <w:rPr>
                <w:rFonts w:ascii="Times New Roman" w:eastAsia="Times New Roman" w:hAnsi="Times New Roman" w:cs="Times New Roman"/>
                <w:b/>
                <w:noProof/>
                <w:szCs w:val="24"/>
                <w:highlight w:val="yellow"/>
              </w:rPr>
            </w:pPr>
            <w:r w:rsidRPr="007C3BD1">
              <w:rPr>
                <w:rFonts w:ascii="Times New Roman" w:eastAsia="Times New Roman" w:hAnsi="Times New Roman" w:cs="Times New Roman"/>
                <w:noProof/>
                <w:szCs w:val="24"/>
                <w:highlight w:val="yellow"/>
              </w:rPr>
              <w:t xml:space="preserve">2014-2020 m. programavimo periodo metu buvo pradėtos investicijos į savivaldybių kompetencijų stiprinimą integracijos srityje siekiant ugdyti jų lydersytės gebėjimus užsieniečių integracijos srityje, buvo ugdoma įvairių sektorių veikėjų kompetenciją vietos lygiu ir skatinamas jų bendradarbiavimas vystant vietos lygmens strategijas užsieniečių srityje. Šio periodo metu </w:t>
            </w:r>
            <w:r w:rsidRPr="007C3BD1">
              <w:rPr>
                <w:rFonts w:ascii="Times New Roman" w:eastAsia="Times New Roman" w:hAnsi="Times New Roman" w:cs="Times New Roman"/>
                <w:b/>
                <w:noProof/>
                <w:szCs w:val="24"/>
                <w:highlight w:val="yellow"/>
              </w:rPr>
              <w:t xml:space="preserve">investicijos bus tęsiamos, įtraukiant daugiau savivaldybių ir stiprinant jau veikiančių savivaldybių ir NVO, dirbančių su tiksline grupe kompetencijas bei skatinant visų vietos veikėjų bendradarbiavimą ir tinklų kūrimąsi. </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Papildomai nacionaliniu lygiu planuojama </w:t>
            </w:r>
            <w:r w:rsidRPr="007C3BD1">
              <w:rPr>
                <w:rFonts w:ascii="Times New Roman" w:eastAsia="Times New Roman" w:hAnsi="Times New Roman" w:cs="Times New Roman"/>
                <w:b/>
                <w:noProof/>
                <w:szCs w:val="24"/>
                <w:highlight w:val="yellow"/>
              </w:rPr>
              <w:t>stiprinti integracijos stebėsenos ir vertinimo pajėgumus</w:t>
            </w:r>
            <w:r w:rsidRPr="007C3BD1">
              <w:rPr>
                <w:rFonts w:ascii="Times New Roman" w:eastAsia="Times New Roman" w:hAnsi="Times New Roman" w:cs="Times New Roman"/>
                <w:noProof/>
                <w:szCs w:val="24"/>
                <w:highlight w:val="yellow"/>
              </w:rPr>
              <w:t xml:space="preserve">. Šiuo metu apie Lietuvoje esančius trečiųjų šalių piliečius renkama informacija yra išskaidyta skirtingose institucijose ir informacinėse sistemose, kurių tik dalis turi pajėgumus rengti analitinę informaciją, būtiną politinių sprendimų priėmimui. Planuojamos investicijos siekiant užtikrinti informacijos sinergiją ir galimybę </w:t>
            </w:r>
            <w:r w:rsidRPr="007C3BD1">
              <w:rPr>
                <w:rFonts w:ascii="Times New Roman" w:eastAsia="Times New Roman" w:hAnsi="Times New Roman" w:cs="Times New Roman"/>
                <w:noProof/>
                <w:szCs w:val="24"/>
                <w:highlight w:val="yellow"/>
              </w:rPr>
              <w:lastRenderedPageBreak/>
              <w:t>naudoti duomenis, siekiant formuoti įrodymais grįstą integracijos politiką.</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Siekiant didinti sinergiją su kitais ES fondais ir valstybės biudžeto finansuojamomis programomis bus siekiama </w:t>
            </w:r>
            <w:r w:rsidRPr="007C3BD1">
              <w:rPr>
                <w:rFonts w:ascii="Times New Roman" w:eastAsia="Times New Roman" w:hAnsi="Times New Roman" w:cs="Times New Roman"/>
                <w:b/>
                <w:noProof/>
                <w:szCs w:val="24"/>
                <w:highlight w:val="yellow"/>
              </w:rPr>
              <w:t>PMIF investicijomis įgalinti tikslinę grupę pasiekti nacionalinėje sistemoje teikiamas paslaugas, kurių pasiekiamumui šiuo metu kylą iššūkių</w:t>
            </w:r>
            <w:r w:rsidRPr="007C3BD1">
              <w:rPr>
                <w:rFonts w:ascii="Times New Roman" w:eastAsia="Times New Roman" w:hAnsi="Times New Roman" w:cs="Times New Roman"/>
                <w:noProof/>
                <w:szCs w:val="24"/>
                <w:highlight w:val="yellow"/>
              </w:rPr>
              <w:t>.</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b/>
                <w:noProof/>
                <w:szCs w:val="24"/>
                <w:highlight w:val="yellow"/>
              </w:rPr>
              <w:t>Įdarbinimo srityje</w:t>
            </w:r>
            <w:r w:rsidRPr="007C3BD1">
              <w:rPr>
                <w:rFonts w:ascii="Times New Roman" w:eastAsia="Times New Roman" w:hAnsi="Times New Roman" w:cs="Times New Roman"/>
                <w:noProof/>
                <w:szCs w:val="24"/>
                <w:highlight w:val="yellow"/>
              </w:rPr>
              <w:t xml:space="preserve"> bus toliau dirbama su </w:t>
            </w:r>
            <w:r w:rsidRPr="007C3BD1">
              <w:rPr>
                <w:rFonts w:ascii="Times New Roman" w:eastAsia="Times New Roman" w:hAnsi="Times New Roman" w:cs="Times New Roman"/>
                <w:b/>
                <w:noProof/>
                <w:szCs w:val="24"/>
                <w:highlight w:val="yellow"/>
              </w:rPr>
              <w:t>darbdavių nuostatų keitimu</w:t>
            </w:r>
            <w:r w:rsidRPr="007C3BD1">
              <w:rPr>
                <w:rFonts w:ascii="Times New Roman" w:eastAsia="Times New Roman" w:hAnsi="Times New Roman" w:cs="Times New Roman"/>
                <w:noProof/>
                <w:szCs w:val="24"/>
                <w:highlight w:val="yellow"/>
              </w:rPr>
              <w:t xml:space="preserve">, taip pat bus papildomai investuojama į </w:t>
            </w:r>
            <w:r w:rsidRPr="007C3BD1">
              <w:rPr>
                <w:rFonts w:ascii="Times New Roman" w:eastAsia="Times New Roman" w:hAnsi="Times New Roman" w:cs="Times New Roman"/>
                <w:b/>
                <w:noProof/>
                <w:szCs w:val="24"/>
                <w:highlight w:val="yellow"/>
              </w:rPr>
              <w:t>profesinio orientavimo ir perkvalifikavimo paslaugas</w:t>
            </w:r>
            <w:r w:rsidRPr="007C3BD1">
              <w:rPr>
                <w:rFonts w:ascii="Times New Roman" w:eastAsia="Times New Roman" w:hAnsi="Times New Roman" w:cs="Times New Roman"/>
                <w:noProof/>
                <w:szCs w:val="24"/>
                <w:highlight w:val="yellow"/>
              </w:rPr>
              <w:t xml:space="preserve">, tęsiamos konsultacijos ir tarpininkavimo paslaugų tikslinei grupei teikimas, verslumo tikslinėje grupėje skatinimo iniciatyvos. Būtina stiprinti įdarbinimo srityje dirbančių specialistų kompetencijas ir apie darbo migrantus renkamų ir tvarkomų duomenų kokybę ir sinergiją. Papildomos investicijos reikalingos didesniam darbdavių įsitraukimui į integracijos procesus skatinimui, paslaugų darbo vietoje po įdarbinimo teikimui ir darbdavių kompetencijų tobulinimui, siekiant didinti jų socialinį atsakingumą ir tarpkultūrinės aplinkos darbe kūrimo kompetencijas. </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Šio periodo metu taip planuojama tikslingai papildyti ESF ir nacionalinių lėšų investicijas švietimo srityje. </w:t>
            </w:r>
            <w:r w:rsidRPr="007C3BD1">
              <w:rPr>
                <w:rFonts w:ascii="Times New Roman" w:eastAsia="Times New Roman" w:hAnsi="Times New Roman" w:cs="Times New Roman"/>
                <w:b/>
                <w:noProof/>
                <w:szCs w:val="24"/>
                <w:highlight w:val="yellow"/>
              </w:rPr>
              <w:t>Planuojama papildyti planuojamas veiklas, kuriomis siekiama stiprinti mokyklų kompetencijas</w:t>
            </w:r>
            <w:r w:rsidRPr="007C3BD1">
              <w:rPr>
                <w:rFonts w:ascii="Times New Roman" w:eastAsia="Times New Roman" w:hAnsi="Times New Roman" w:cs="Times New Roman"/>
                <w:noProof/>
                <w:szCs w:val="24"/>
                <w:highlight w:val="yellow"/>
              </w:rPr>
              <w:t xml:space="preserve"> priimti užsieniečių vaikus, sudarant galimybes PMIF tikslinėms grupėms pasiekti paslaugas, kai bendra nacionalinė sistema nepakankamai atliepia jų poreikius.</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2014-2020 m. programavimo periodo metu buvo investuota į nacionalinės lietuvių kalbos metodikos kūrimą ir įgyvendinimą. </w:t>
            </w:r>
            <w:r w:rsidRPr="007C3BD1">
              <w:rPr>
                <w:rFonts w:ascii="Times New Roman" w:eastAsia="Times New Roman" w:hAnsi="Times New Roman" w:cs="Times New Roman"/>
                <w:b/>
                <w:noProof/>
                <w:szCs w:val="24"/>
                <w:highlight w:val="yellow"/>
              </w:rPr>
              <w:t xml:space="preserve">Šio periodo metu planuojama prisidėti prie metodikos tobulinimo, kiek to reikės mokymų turinio tobulinimui, </w:t>
            </w:r>
            <w:r w:rsidRPr="007C3BD1">
              <w:rPr>
                <w:rFonts w:ascii="Times New Roman" w:eastAsia="Times New Roman" w:hAnsi="Times New Roman" w:cs="Times New Roman"/>
                <w:noProof/>
                <w:szCs w:val="24"/>
                <w:highlight w:val="yellow"/>
              </w:rPr>
              <w:t>atsižvelgiant į tikslinės grupės poreikius. Taip pat – investuoti į nacionalinės visuomenės pažinimo ir pilietinio orientavimosi mokymų metodikos sukūrimą.</w:t>
            </w:r>
          </w:p>
          <w:p w:rsidR="007C3BD1" w:rsidRPr="007C3BD1" w:rsidRDefault="007C3BD1" w:rsidP="00C67CBD">
            <w:pPr>
              <w:ind w:left="34"/>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Trečiųjų šalių piliečiams bus toliau teikiamas kompleksinių paslaugų paketas, siekiat užtikrinti sklandžią jų integraciją (socialinės, psichologinės, vertimo, palydėjimo, pilietinio orientavimo mokymai, kalbos mokymai, būsto paieškos ir kt.). Bus investuojama </w:t>
            </w:r>
            <w:r w:rsidRPr="007C3BD1">
              <w:rPr>
                <w:rFonts w:ascii="Times New Roman" w:eastAsia="Times New Roman" w:hAnsi="Times New Roman" w:cs="Times New Roman"/>
                <w:b/>
                <w:noProof/>
                <w:szCs w:val="24"/>
                <w:highlight w:val="yellow"/>
              </w:rPr>
              <w:t>į teikiamų paslaugų kokybę ir efektyvesnį teikimą (ypatingą dėmesį skiriant prieglobstį gavusių užsieniečių,  specifiniams poreikiams) – sveikatos paslaugų srityje, smurto artimoje aplinkoje srityje, vaikų ir jaunimo užimtumo srityse, skiriamos lėšos bendruomeninėms iniciatyvoms, siekiant skatinti socialinių ryšių kūrimąsi su vietos bendruomene</w:t>
            </w:r>
            <w:r w:rsidRPr="007C3BD1">
              <w:rPr>
                <w:rFonts w:ascii="Times New Roman" w:eastAsia="Times New Roman" w:hAnsi="Times New Roman" w:cs="Times New Roman"/>
                <w:noProof/>
                <w:szCs w:val="24"/>
                <w:highlight w:val="yellow"/>
              </w:rPr>
              <w:t xml:space="preserve">. Finansuojamas </w:t>
            </w:r>
            <w:r w:rsidRPr="007C3BD1">
              <w:rPr>
                <w:rFonts w:ascii="Times New Roman" w:hAnsi="Times New Roman" w:cs="Times New Roman"/>
                <w:szCs w:val="24"/>
                <w:highlight w:val="yellow"/>
              </w:rPr>
              <w:t>kompetencijų kėlimas viešąsias paslaugas teikiančiose institucijose (švietimo paslaugos, sveikatos apsaugos paslaugos, teismai, policija, vaikų teisės, savivalda, NVO ir t.t.)</w:t>
            </w:r>
          </w:p>
          <w:p w:rsidR="007C3BD1" w:rsidRPr="007C3BD1" w:rsidRDefault="007C3BD1" w:rsidP="00C67CBD">
            <w:pPr>
              <w:ind w:left="34"/>
              <w:jc w:val="both"/>
              <w:rPr>
                <w:rFonts w:ascii="Times New Roman" w:hAnsi="Times New Roman" w:cs="Times New Roman"/>
                <w:noProof/>
                <w:szCs w:val="24"/>
                <w:highlight w:val="yellow"/>
              </w:rPr>
            </w:pPr>
            <w:r w:rsidRPr="007C3BD1">
              <w:rPr>
                <w:rFonts w:ascii="Times New Roman" w:hAnsi="Times New Roman" w:cs="Times New Roman"/>
                <w:szCs w:val="24"/>
                <w:highlight w:val="yellow"/>
              </w:rPr>
              <w:t xml:space="preserve">Įvertinus tai, kad vis didėja vertimo paslaugų poreikis bei teikiamų kitų paslaugų kokybė ir vertė yra tiesiogiai priklausoma nuo kalbos barjerų, 2021-2027 m. programavimo periodo metu </w:t>
            </w:r>
            <w:r w:rsidRPr="007C3BD1">
              <w:rPr>
                <w:rFonts w:ascii="Times New Roman" w:hAnsi="Times New Roman" w:cs="Times New Roman"/>
                <w:b/>
                <w:szCs w:val="24"/>
                <w:highlight w:val="yellow"/>
              </w:rPr>
              <w:t>planuojama steigti nacionalinį vertimo paslaugų centrą</w:t>
            </w:r>
            <w:r w:rsidRPr="007C3BD1">
              <w:rPr>
                <w:rFonts w:ascii="Times New Roman" w:hAnsi="Times New Roman" w:cs="Times New Roman"/>
                <w:szCs w:val="24"/>
                <w:highlight w:val="yellow"/>
              </w:rPr>
              <w:t>, kuris gebėtų lanksčiai ir operatyviai teikti įvairių</w:t>
            </w:r>
            <w:r w:rsidRPr="007C3BD1">
              <w:rPr>
                <w:rFonts w:ascii="Times New Roman" w:hAnsi="Times New Roman" w:cs="Times New Roman"/>
                <w:noProof/>
                <w:szCs w:val="24"/>
                <w:highlight w:val="yellow"/>
              </w:rPr>
              <w:t xml:space="preserve"> kalbų vertimo paslaugas.</w:t>
            </w:r>
          </w:p>
          <w:p w:rsidR="007C3BD1" w:rsidRPr="007C3BD1" w:rsidRDefault="007C3BD1" w:rsidP="00C67CBD">
            <w:pPr>
              <w:spacing w:after="80"/>
              <w:jc w:val="both"/>
              <w:rPr>
                <w:rFonts w:ascii="Times New Roman" w:eastAsia="Times New Roman" w:hAnsi="Times New Roman" w:cs="Times New Roman"/>
                <w:noProof/>
                <w:szCs w:val="24"/>
                <w:highlight w:val="yellow"/>
              </w:rPr>
            </w:pPr>
            <w:r w:rsidRPr="007C3BD1">
              <w:rPr>
                <w:rFonts w:ascii="Times New Roman" w:eastAsia="Times New Roman" w:hAnsi="Times New Roman" w:cs="Times New Roman"/>
                <w:noProof/>
                <w:szCs w:val="24"/>
                <w:highlight w:val="yellow"/>
              </w:rPr>
              <w:t xml:space="preserve">Toliau bus investuojama į </w:t>
            </w:r>
            <w:r w:rsidRPr="007C3BD1">
              <w:rPr>
                <w:rFonts w:ascii="Times New Roman" w:eastAsia="Times New Roman" w:hAnsi="Times New Roman" w:cs="Times New Roman"/>
                <w:b/>
                <w:noProof/>
                <w:szCs w:val="24"/>
                <w:highlight w:val="yellow"/>
              </w:rPr>
              <w:t>komunikacijos, viešinimo ir informacijos prieinamumo kampanijas.</w:t>
            </w:r>
          </w:p>
        </w:tc>
      </w:tr>
    </w:tbl>
    <w:p w:rsidR="00D40709" w:rsidRDefault="00D40709" w:rsidP="00D40709">
      <w:pPr>
        <w:spacing w:after="0" w:line="240" w:lineRule="auto"/>
        <w:jc w:val="both"/>
        <w:rPr>
          <w:rFonts w:ascii="Times New Roman" w:eastAsia="Times New Roman" w:hAnsi="Times New Roman" w:cs="Times New Roman"/>
          <w:b/>
          <w:sz w:val="24"/>
          <w:szCs w:val="24"/>
          <w:lang w:eastAsia="lt-LT"/>
        </w:rPr>
      </w:pPr>
    </w:p>
    <w:p w:rsidR="00D40709" w:rsidRPr="0088411E" w:rsidRDefault="00D40709" w:rsidP="00D40709">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2.2</w:t>
      </w:r>
      <w:r w:rsidRPr="0088411E">
        <w:rPr>
          <w:rFonts w:ascii="Times New Roman" w:eastAsia="Times New Roman" w:hAnsi="Times New Roman" w:cs="Times New Roman"/>
          <w:b/>
          <w:sz w:val="24"/>
          <w:szCs w:val="24"/>
          <w:lang w:eastAsia="lt-LT"/>
        </w:rPr>
        <w:t>.2 Indicators</w:t>
      </w:r>
    </w:p>
    <w:tbl>
      <w:tblPr>
        <w:tblW w:w="11910" w:type="dxa"/>
        <w:tblLayout w:type="fixed"/>
        <w:tblCellMar>
          <w:left w:w="0" w:type="dxa"/>
          <w:right w:w="0" w:type="dxa"/>
        </w:tblCellMar>
        <w:tblLook w:val="04A0" w:firstRow="1" w:lastRow="0" w:firstColumn="1" w:lastColumn="0" w:noHBand="0" w:noVBand="1"/>
      </w:tblPr>
      <w:tblGrid>
        <w:gridCol w:w="1101"/>
        <w:gridCol w:w="992"/>
        <w:gridCol w:w="236"/>
        <w:gridCol w:w="1040"/>
        <w:gridCol w:w="284"/>
        <w:gridCol w:w="1275"/>
        <w:gridCol w:w="284"/>
        <w:gridCol w:w="1133"/>
        <w:gridCol w:w="284"/>
        <w:gridCol w:w="850"/>
        <w:gridCol w:w="284"/>
        <w:gridCol w:w="425"/>
        <w:gridCol w:w="851"/>
        <w:gridCol w:w="430"/>
        <w:gridCol w:w="278"/>
        <w:gridCol w:w="56"/>
        <w:gridCol w:w="1823"/>
        <w:gridCol w:w="284"/>
      </w:tblGrid>
      <w:tr w:rsidR="00D40709" w:rsidRPr="0088411E" w:rsidTr="007C3BD1">
        <w:trPr>
          <w:gridAfter w:val="3"/>
          <w:wAfter w:w="2163" w:type="dxa"/>
        </w:trPr>
        <w:tc>
          <w:tcPr>
            <w:tcW w:w="9747" w:type="dxa"/>
            <w:gridSpan w:val="15"/>
            <w:tcBorders>
              <w:bottom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Table 1: Output indicators</w:t>
            </w:r>
          </w:p>
        </w:tc>
      </w:tr>
      <w:tr w:rsidR="00D40709" w:rsidRPr="00D40709" w:rsidTr="007C3BD1">
        <w:trPr>
          <w:gridAfter w:val="3"/>
          <w:wAfter w:w="2163" w:type="dxa"/>
        </w:trPr>
        <w:tc>
          <w:tcPr>
            <w:tcW w:w="1101"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Specific objective</w:t>
            </w:r>
          </w:p>
        </w:tc>
        <w:tc>
          <w:tcPr>
            <w:tcW w:w="992"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ID [5]</w:t>
            </w:r>
          </w:p>
        </w:tc>
        <w:tc>
          <w:tcPr>
            <w:tcW w:w="1276"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ind w:left="34"/>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Indicator [255]</w:t>
            </w:r>
          </w:p>
        </w:tc>
        <w:tc>
          <w:tcPr>
            <w:tcW w:w="1559"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Measurement unit</w:t>
            </w:r>
          </w:p>
        </w:tc>
        <w:tc>
          <w:tcPr>
            <w:tcW w:w="1417"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Milestone (2024)</w:t>
            </w:r>
          </w:p>
        </w:tc>
        <w:tc>
          <w:tcPr>
            <w:tcW w:w="3402" w:type="dxa"/>
            <w:gridSpan w:val="7"/>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Target (2029)</w:t>
            </w:r>
          </w:p>
        </w:tc>
      </w:tr>
      <w:tr w:rsidR="00D40709" w:rsidRPr="00D40709" w:rsidTr="00237FBD">
        <w:trPr>
          <w:gridAfter w:val="3"/>
          <w:wAfter w:w="2163"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ind w:left="34"/>
              <w:jc w:val="both"/>
              <w:rPr>
                <w:rFonts w:ascii="Times New Roman" w:eastAsia="Times New Roman" w:hAnsi="Times New Roman" w:cs="Times New Roman"/>
                <w:sz w:val="20"/>
                <w:szCs w:val="24"/>
                <w:lang w:eastAsia="lt-L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340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D40709" w:rsidTr="00237FBD">
        <w:trPr>
          <w:gridAfter w:val="8"/>
          <w:wAfter w:w="4431"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tabs>
                <w:tab w:val="left" w:pos="111"/>
              </w:tabs>
              <w:spacing w:after="0" w:line="240" w:lineRule="auto"/>
              <w:rPr>
                <w:rFonts w:ascii="Times New Roman" w:eastAsia="Times New Roman" w:hAnsi="Times New Roman" w:cs="Times New Roman"/>
                <w:sz w:val="20"/>
                <w:szCs w:val="24"/>
                <w:lang w:eastAsia="lt-LT"/>
              </w:rPr>
            </w:pP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r>
      <w:tr w:rsidR="00D40709" w:rsidRPr="0088411E" w:rsidTr="00237FBD">
        <w:trPr>
          <w:gridAfter w:val="1"/>
          <w:wAfter w:w="284" w:type="dxa"/>
        </w:trPr>
        <w:tc>
          <w:tcPr>
            <w:tcW w:w="11626" w:type="dxa"/>
            <w:gridSpan w:val="17"/>
            <w:shd w:val="clear" w:color="auto" w:fill="auto"/>
            <w:tcMar>
              <w:top w:w="0" w:type="dxa"/>
              <w:left w:w="108" w:type="dxa"/>
              <w:bottom w:w="0" w:type="dxa"/>
              <w:right w:w="108" w:type="dxa"/>
            </w:tcMar>
            <w:hideMark/>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Table 2: Result indicators</w:t>
            </w:r>
          </w:p>
        </w:tc>
      </w:tr>
      <w:tr w:rsidR="00D40709" w:rsidRPr="00D40709" w:rsidTr="00237FBD">
        <w:trPr>
          <w:gridAfter w:val="3"/>
          <w:wAfter w:w="2163" w:type="dxa"/>
        </w:trPr>
        <w:tc>
          <w:tcPr>
            <w:tcW w:w="11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Specific objective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ID [5]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Indicator [255]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Measurement unit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Baseline or reference value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Reference year</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Target (2029)</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Source of data [200]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Comments [200]</w:t>
            </w:r>
          </w:p>
        </w:tc>
      </w:tr>
      <w:tr w:rsidR="00D40709" w:rsidRPr="00D40709" w:rsidTr="00237FBD">
        <w:trPr>
          <w:gridAfter w:val="3"/>
          <w:wAfter w:w="2163" w:type="dxa"/>
        </w:trPr>
        <w:tc>
          <w:tcPr>
            <w:tcW w:w="11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D40709" w:rsidTr="00237FBD">
        <w:tc>
          <w:tcPr>
            <w:tcW w:w="2093"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236" w:type="dxa"/>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32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706" w:type="dxa"/>
            <w:gridSpan w:val="3"/>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33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2107"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r>
    </w:tbl>
    <w:p w:rsidR="00D40709" w:rsidRDefault="00D40709" w:rsidP="00D40709">
      <w:pPr>
        <w:spacing w:after="0" w:line="240" w:lineRule="auto"/>
        <w:jc w:val="both"/>
        <w:rPr>
          <w:rFonts w:ascii="Times New Roman" w:eastAsia="Times New Roman" w:hAnsi="Times New Roman" w:cs="Times New Roman"/>
          <w:sz w:val="24"/>
          <w:szCs w:val="24"/>
          <w:lang w:eastAsia="lt-LT"/>
        </w:rPr>
      </w:pPr>
    </w:p>
    <w:p w:rsidR="00D40709" w:rsidRPr="0088411E" w:rsidRDefault="007C3BD1" w:rsidP="00D40709">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2.2</w:t>
      </w:r>
      <w:r w:rsidR="00D40709" w:rsidRPr="0088411E">
        <w:rPr>
          <w:rFonts w:ascii="Times New Roman" w:eastAsia="Times New Roman" w:hAnsi="Times New Roman" w:cs="Times New Roman"/>
          <w:b/>
          <w:sz w:val="24"/>
          <w:szCs w:val="24"/>
          <w:lang w:eastAsia="lt-LT"/>
        </w:rPr>
        <w:t>.3 Indicative breakdown of the programme resources (EU) by type of intervention</w:t>
      </w:r>
    </w:p>
    <w:p w:rsidR="00D40709" w:rsidRDefault="00D40709" w:rsidP="00D40709">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lastRenderedPageBreak/>
        <w:t>Reference: Article 17(5) and Article 10(16) of the BMVI Regulation or Article 10(9) of the ISF Regulation or Article 10(8) of the AMIF Regulation</w:t>
      </w:r>
    </w:p>
    <w:p w:rsidR="00D40709" w:rsidRPr="0088411E" w:rsidRDefault="00D40709" w:rsidP="00D40709">
      <w:pPr>
        <w:spacing w:after="0" w:line="240" w:lineRule="auto"/>
        <w:jc w:val="both"/>
        <w:rPr>
          <w:rFonts w:ascii="Times New Roman" w:eastAsia="Times New Roman" w:hAnsi="Times New Roman" w:cs="Times New Roman"/>
          <w:sz w:val="24"/>
          <w:szCs w:val="24"/>
          <w:lang w:eastAsia="lt-LT"/>
        </w:rPr>
      </w:pPr>
    </w:p>
    <w:tbl>
      <w:tblPr>
        <w:tblW w:w="9534" w:type="dxa"/>
        <w:tblCellMar>
          <w:left w:w="0" w:type="dxa"/>
          <w:right w:w="0" w:type="dxa"/>
        </w:tblCellMar>
        <w:tblLook w:val="04A0" w:firstRow="1" w:lastRow="0" w:firstColumn="1" w:lastColumn="0" w:noHBand="0" w:noVBand="1"/>
      </w:tblPr>
      <w:tblGrid>
        <w:gridCol w:w="2542"/>
        <w:gridCol w:w="2784"/>
        <w:gridCol w:w="904"/>
        <w:gridCol w:w="3304"/>
      </w:tblGrid>
      <w:tr w:rsidR="00D40709" w:rsidRPr="0088411E" w:rsidTr="00237FBD">
        <w:tc>
          <w:tcPr>
            <w:tcW w:w="95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3</w:t>
            </w:r>
          </w:p>
        </w:tc>
      </w:tr>
      <w:tr w:rsidR="00D40709" w:rsidRPr="0088411E"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Specific objective</w:t>
            </w: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Indicative amount (Euro)</w:t>
            </w:r>
          </w:p>
        </w:tc>
      </w:tr>
      <w:tr w:rsidR="00D40709" w:rsidRPr="0088411E"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r>
    </w:tbl>
    <w:p w:rsidR="00D40709" w:rsidRDefault="00D40709" w:rsidP="00D40709">
      <w:pPr>
        <w:spacing w:after="0" w:line="240" w:lineRule="auto"/>
        <w:ind w:left="468"/>
        <w:jc w:val="both"/>
        <w:rPr>
          <w:rFonts w:ascii="Times New Roman" w:eastAsia="Times New Roman" w:hAnsi="Times New Roman" w:cs="Times New Roman"/>
          <w:sz w:val="24"/>
          <w:szCs w:val="24"/>
          <w:lang w:eastAsia="lt-LT"/>
        </w:rPr>
      </w:pPr>
    </w:p>
    <w:p w:rsidR="00D40709" w:rsidRPr="0088411E" w:rsidRDefault="007C3BD1" w:rsidP="007C3BD1">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2.3</w:t>
      </w:r>
      <w:r w:rsidR="00D40709" w:rsidRPr="0088411E">
        <w:rPr>
          <w:rFonts w:ascii="Times New Roman" w:eastAsia="Times New Roman" w:hAnsi="Times New Roman" w:cs="Times New Roman"/>
          <w:b/>
          <w:sz w:val="24"/>
          <w:szCs w:val="24"/>
          <w:lang w:eastAsia="lt-LT"/>
        </w:rPr>
        <w:t>. Title of the specific objective [300]</w:t>
      </w:r>
    </w:p>
    <w:p w:rsidR="00D40709" w:rsidRPr="0088411E" w:rsidRDefault="007C3BD1" w:rsidP="007C3BD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2.3</w:t>
      </w:r>
      <w:r w:rsidR="00D40709" w:rsidRPr="0088411E">
        <w:rPr>
          <w:rFonts w:ascii="Times New Roman" w:eastAsia="Times New Roman" w:hAnsi="Times New Roman" w:cs="Times New Roman"/>
          <w:b/>
          <w:sz w:val="24"/>
          <w:szCs w:val="24"/>
          <w:lang w:eastAsia="lt-LT"/>
        </w:rPr>
        <w:t>.1. Description of a specific objective</w:t>
      </w:r>
    </w:p>
    <w:tbl>
      <w:tblPr>
        <w:tblW w:w="9747" w:type="dxa"/>
        <w:tblCellMar>
          <w:left w:w="0" w:type="dxa"/>
          <w:right w:w="0" w:type="dxa"/>
        </w:tblCellMar>
        <w:tblLook w:val="04A0" w:firstRow="1" w:lastRow="0" w:firstColumn="1" w:lastColumn="0" w:noHBand="0" w:noVBand="1"/>
      </w:tblPr>
      <w:tblGrid>
        <w:gridCol w:w="9747"/>
      </w:tblGrid>
      <w:tr w:rsidR="007C3BD1" w:rsidRPr="0088411E" w:rsidTr="007C3BD1">
        <w:tc>
          <w:tcPr>
            <w:tcW w:w="9747" w:type="dxa"/>
            <w:tcBorders>
              <w:top w:val="single" w:sz="6" w:space="0" w:color="000000"/>
              <w:left w:val="single" w:sz="6" w:space="0" w:color="000000"/>
              <w:bottom w:val="single" w:sz="6" w:space="0" w:color="000000"/>
              <w:right w:val="single" w:sz="6" w:space="0" w:color="000000"/>
            </w:tcBorders>
          </w:tcPr>
          <w:p w:rsidR="007C3BD1" w:rsidRPr="007C3BD1" w:rsidRDefault="007C3BD1" w:rsidP="00C67CBD">
            <w:pPr>
              <w:spacing w:after="80"/>
              <w:jc w:val="both"/>
              <w:rPr>
                <w:rFonts w:ascii="Times New Roman" w:eastAsia="Times New Roman" w:hAnsi="Times New Roman" w:cs="Times New Roman"/>
                <w:noProof/>
                <w:highlight w:val="yellow"/>
              </w:rPr>
            </w:pPr>
            <w:bookmarkStart w:id="0" w:name="_GoBack"/>
            <w:r w:rsidRPr="007C3BD1">
              <w:rPr>
                <w:rFonts w:ascii="Times New Roman" w:eastAsia="Times New Roman" w:hAnsi="Times New Roman" w:cs="Times New Roman"/>
                <w:noProof/>
                <w:highlight w:val="yellow"/>
              </w:rPr>
              <w:t xml:space="preserve">2014-2020 m. programavimo periodo metu daugiausiai investicijų buvo nukreipta siekiant kurti grąžinimo sistemą Lietuvoje ir užtikrinti tinkamas procedūras ir paslaugų teikimą bei apgyvendinimą tikslinės grupės asmenims. </w:t>
            </w:r>
          </w:p>
          <w:p w:rsidR="007C3BD1" w:rsidRPr="007C3BD1" w:rsidRDefault="007C3BD1" w:rsidP="00C67CBD">
            <w:pPr>
              <w:spacing w:after="80"/>
              <w:jc w:val="both"/>
              <w:rPr>
                <w:rFonts w:ascii="Times New Roman" w:eastAsia="Times New Roman" w:hAnsi="Times New Roman" w:cs="Times New Roman"/>
                <w:noProof/>
                <w:highlight w:val="yellow"/>
              </w:rPr>
            </w:pPr>
            <w:r w:rsidRPr="007C3BD1">
              <w:rPr>
                <w:rFonts w:ascii="Times New Roman" w:eastAsia="Times New Roman" w:hAnsi="Times New Roman" w:cs="Times New Roman"/>
                <w:noProof/>
                <w:highlight w:val="yellow"/>
              </w:rPr>
              <w:t xml:space="preserve">Grąžinimo veiklas vykdė Tarptautinė Migracijos Organizacija ir Valstybinės sienos apsaugos tarnyba, kurių bendradarbiavimas leido užtikrinti savanoriško ir priverstinio grąžinimo veiklų derinimą. Šios </w:t>
            </w:r>
            <w:r w:rsidRPr="007C3BD1">
              <w:rPr>
                <w:rFonts w:ascii="Times New Roman" w:eastAsia="Times New Roman" w:hAnsi="Times New Roman" w:cs="Times New Roman"/>
                <w:b/>
                <w:noProof/>
                <w:highlight w:val="yellow"/>
              </w:rPr>
              <w:t xml:space="preserve">veiklos bus tęsiamos, toliau stiprinant atsakingų institucijų bendradarbiavimą ir priverstinio bei savanoriško grąžinimo ir reintegracijos kilmės šalyje derinimą. Siekiant skatinti savanorišką grįžimą, planuojama papildomai investuoti į savanoriško grįžimo žinomumo ir institucijų bendradarbiavimo stiprinimo veiklas </w:t>
            </w:r>
            <w:r w:rsidRPr="007C3BD1">
              <w:rPr>
                <w:rFonts w:ascii="Times New Roman" w:eastAsia="Times New Roman" w:hAnsi="Times New Roman" w:cs="Times New Roman"/>
                <w:noProof/>
                <w:highlight w:val="yellow"/>
              </w:rPr>
              <w:t xml:space="preserve">(specialistų kompetencijų kėlimas, informacijos apie savanoriško grįžimo naudą rengimas, kompetencijų palaikymo modulio kūrimas, grąžintinų asmenų apklausos instrukcijos ir pan.). </w:t>
            </w:r>
            <w:r w:rsidRPr="007C3BD1">
              <w:rPr>
                <w:rFonts w:ascii="Times New Roman" w:eastAsia="Times New Roman" w:hAnsi="Times New Roman" w:cs="Times New Roman"/>
                <w:noProof/>
                <w:highlight w:val="yellow"/>
                <w:lang w:val="en-US"/>
              </w:rPr>
              <w:t xml:space="preserve">Taip pat siekiant savanoriško grįžimo ir reintegracijos modelį papildyti gebėjimu stebėti ir vertinti investicijų tęstinumą, </w:t>
            </w:r>
            <w:r w:rsidRPr="007C3BD1">
              <w:rPr>
                <w:rFonts w:ascii="Times New Roman" w:eastAsia="Times New Roman" w:hAnsi="Times New Roman" w:cs="Times New Roman"/>
                <w:b/>
                <w:noProof/>
                <w:highlight w:val="yellow"/>
                <w:lang w:val="en-US"/>
              </w:rPr>
              <w:t>planuojama papildomai investuoti į infrastruktūrą, padedančią palaikyti informacijos apsikeitimą su kilmės šalimis</w:t>
            </w:r>
            <w:r w:rsidRPr="007C3BD1">
              <w:rPr>
                <w:rFonts w:ascii="Times New Roman" w:eastAsia="Times New Roman" w:hAnsi="Times New Roman" w:cs="Times New Roman"/>
                <w:b/>
                <w:noProof/>
                <w:highlight w:val="yellow"/>
              </w:rPr>
              <w:t>.</w:t>
            </w:r>
            <w:r w:rsidRPr="007C3BD1">
              <w:rPr>
                <w:rFonts w:ascii="Times New Roman" w:eastAsia="Times New Roman" w:hAnsi="Times New Roman" w:cs="Times New Roman"/>
                <w:noProof/>
                <w:highlight w:val="yellow"/>
              </w:rPr>
              <w:t xml:space="preserve"> </w:t>
            </w:r>
          </w:p>
          <w:p w:rsidR="007C3BD1" w:rsidRPr="007C3BD1" w:rsidRDefault="007C3BD1" w:rsidP="00C67CBD">
            <w:pPr>
              <w:spacing w:after="80"/>
              <w:jc w:val="both"/>
              <w:rPr>
                <w:rFonts w:ascii="Times New Roman" w:eastAsia="Times New Roman" w:hAnsi="Times New Roman" w:cs="Times New Roman"/>
                <w:noProof/>
                <w:highlight w:val="yellow"/>
              </w:rPr>
            </w:pPr>
            <w:r w:rsidRPr="007C3BD1">
              <w:rPr>
                <w:rFonts w:ascii="Times New Roman" w:eastAsia="Times New Roman" w:hAnsi="Times New Roman" w:cs="Times New Roman"/>
                <w:noProof/>
                <w:highlight w:val="yellow"/>
              </w:rPr>
              <w:t xml:space="preserve">Siekiant gerinti grąžintinų asmenų gyvenimo ir grąžinimo sąlygas 2014-2020 m. programavimo periodo metu buvo investuojama į sulaikytųjų asmenų apgyvendinimo infrastruktūros tobulinimą Užsieniečių registracijos centre ir į paslaugų teikimą sulaikytiesiems asmenims. Planuojama toliau </w:t>
            </w:r>
            <w:r w:rsidRPr="007C3BD1">
              <w:rPr>
                <w:rFonts w:ascii="Times New Roman" w:eastAsia="Times New Roman" w:hAnsi="Times New Roman" w:cs="Times New Roman"/>
                <w:b/>
                <w:noProof/>
                <w:highlight w:val="yellow"/>
              </w:rPr>
              <w:t xml:space="preserve">tobulinti apgyvendinimo infrastruktūrą </w:t>
            </w:r>
            <w:r w:rsidRPr="007C3BD1">
              <w:rPr>
                <w:rFonts w:ascii="Times New Roman" w:eastAsia="Times New Roman" w:hAnsi="Times New Roman" w:cs="Times New Roman"/>
                <w:b/>
                <w:noProof/>
                <w:highlight w:val="yellow"/>
                <w:lang w:val="en-US"/>
              </w:rPr>
              <w:t>Užsieniečių registracijos centre</w:t>
            </w:r>
            <w:r w:rsidRPr="007C3BD1">
              <w:rPr>
                <w:rFonts w:ascii="Times New Roman" w:eastAsia="Times New Roman" w:hAnsi="Times New Roman" w:cs="Times New Roman"/>
                <w:noProof/>
                <w:highlight w:val="yellow"/>
                <w:lang w:val="en-US"/>
              </w:rPr>
              <w:t xml:space="preserve"> (vaizdo stebėjimo sistemų modernizavimas, pasikalbėjimų ryšio sistemų įrengimas, reikalingų trasporto priemonių įsigijimas ir pan.) ir </w:t>
            </w:r>
            <w:r w:rsidRPr="007C3BD1">
              <w:rPr>
                <w:rFonts w:ascii="Times New Roman" w:eastAsia="Times New Roman" w:hAnsi="Times New Roman" w:cs="Times New Roman"/>
                <w:b/>
                <w:noProof/>
                <w:highlight w:val="yellow"/>
                <w:lang w:val="en-US"/>
              </w:rPr>
              <w:t>investuoti į laisvalaikio zonų sulaikytiesiems įrengimą</w:t>
            </w:r>
            <w:r w:rsidRPr="007C3BD1">
              <w:rPr>
                <w:rFonts w:ascii="Times New Roman" w:eastAsia="Times New Roman" w:hAnsi="Times New Roman" w:cs="Times New Roman"/>
                <w:noProof/>
                <w:highlight w:val="yellow"/>
                <w:lang w:val="en-US"/>
              </w:rPr>
              <w:t xml:space="preserve">, plečiant ir tikslinei grupei prieinamų paslaugų apimtis. Papildomai ketinama </w:t>
            </w:r>
            <w:r w:rsidRPr="007C3BD1">
              <w:rPr>
                <w:rFonts w:ascii="Times New Roman" w:eastAsia="Times New Roman" w:hAnsi="Times New Roman" w:cs="Times New Roman"/>
                <w:b/>
                <w:noProof/>
                <w:highlight w:val="yellow"/>
                <w:lang w:val="en-US"/>
              </w:rPr>
              <w:t>investuoti į Valstybės sienos apsaugos tarnybai reikalingas priemones efektyvesniam darbui</w:t>
            </w:r>
            <w:r w:rsidRPr="007C3BD1">
              <w:rPr>
                <w:rFonts w:ascii="Times New Roman" w:eastAsia="Times New Roman" w:hAnsi="Times New Roman" w:cs="Times New Roman"/>
                <w:noProof/>
                <w:highlight w:val="yellow"/>
                <w:lang w:val="en-US"/>
              </w:rPr>
              <w:t xml:space="preserve"> (transporto priemonės, nešiojami kompiuteriai, vertimo iš užsienio kalbų įrenginiai, nešiojami „Eurodac“ įrenginiai. Šiame periode taip pat planuojama </w:t>
            </w:r>
            <w:r w:rsidRPr="007C3BD1">
              <w:rPr>
                <w:rFonts w:ascii="Times New Roman" w:eastAsia="Times New Roman" w:hAnsi="Times New Roman" w:cs="Times New Roman"/>
                <w:b/>
                <w:noProof/>
                <w:highlight w:val="yellow"/>
                <w:lang w:val="en-US"/>
              </w:rPr>
              <w:t>tęsti grąžintiniems ir savanor</w:t>
            </w:r>
            <w:r w:rsidRPr="007C3BD1">
              <w:rPr>
                <w:rFonts w:ascii="Times New Roman" w:eastAsia="Times New Roman" w:hAnsi="Times New Roman" w:cs="Times New Roman"/>
                <w:b/>
                <w:noProof/>
                <w:highlight w:val="yellow"/>
              </w:rPr>
              <w:t xml:space="preserve">iškai </w:t>
            </w:r>
            <w:r w:rsidRPr="007C3BD1">
              <w:rPr>
                <w:rFonts w:ascii="Times New Roman" w:eastAsia="Times New Roman" w:hAnsi="Times New Roman" w:cs="Times New Roman"/>
                <w:b/>
                <w:noProof/>
                <w:highlight w:val="yellow"/>
                <w:lang w:val="en-US"/>
              </w:rPr>
              <w:t>grįžtantiems asmenims būtinų paslaugų teikimą</w:t>
            </w:r>
            <w:r w:rsidRPr="007C3BD1">
              <w:rPr>
                <w:rFonts w:ascii="Times New Roman" w:eastAsia="Times New Roman" w:hAnsi="Times New Roman" w:cs="Times New Roman"/>
                <w:noProof/>
                <w:highlight w:val="yellow"/>
                <w:lang w:val="en-US"/>
              </w:rPr>
              <w:t xml:space="preserve"> (vertimas, teisinės paslaugos, t.t.), papildant jas laisvalaikio, užimtumo, socialinėmis paslaugomis (ypač atkreipiant dėmesį į poreikį užtikrinti užimtumą grąžintinų asmenų vaikams)</w:t>
            </w:r>
            <w:r w:rsidRPr="007C3BD1">
              <w:rPr>
                <w:rFonts w:ascii="Times New Roman" w:eastAsia="Times New Roman" w:hAnsi="Times New Roman" w:cs="Times New Roman"/>
                <w:noProof/>
                <w:highlight w:val="yellow"/>
              </w:rPr>
              <w:t xml:space="preserve"> ir stiprinant paslaugų teikimą pasienio kontrolės punktuose</w:t>
            </w:r>
            <w:r w:rsidRPr="007C3BD1">
              <w:rPr>
                <w:rFonts w:ascii="Times New Roman" w:eastAsia="Times New Roman" w:hAnsi="Times New Roman" w:cs="Times New Roman"/>
                <w:noProof/>
                <w:highlight w:val="yellow"/>
                <w:lang w:val="en-US"/>
              </w:rPr>
              <w:t>. 2021-2027 m. planuojama finansuoti projektus, siekiant sukurti alternatyvaus apgyvendinimo ir paslaugų teikimo vietos bendruomenėse modelį (asmenims, kuriems nebuvo suteiktas prieglobstis, laikotarpiu iki išvykimo, ypač orientuojantis į šeimas ir pažeidžiamus asmenis)</w:t>
            </w:r>
          </w:p>
          <w:p w:rsidR="007C3BD1" w:rsidRPr="007C3BD1" w:rsidRDefault="007C3BD1" w:rsidP="00C67CBD">
            <w:pPr>
              <w:spacing w:after="80"/>
              <w:jc w:val="both"/>
              <w:rPr>
                <w:rFonts w:ascii="Times New Roman" w:eastAsia="Times New Roman" w:hAnsi="Times New Roman" w:cs="Times New Roman"/>
                <w:b/>
                <w:noProof/>
                <w:highlight w:val="yellow"/>
              </w:rPr>
            </w:pPr>
            <w:r w:rsidRPr="007C3BD1">
              <w:rPr>
                <w:rFonts w:ascii="Times New Roman" w:eastAsia="Times New Roman" w:hAnsi="Times New Roman" w:cs="Times New Roman"/>
                <w:noProof/>
                <w:highlight w:val="yellow"/>
              </w:rPr>
              <w:t xml:space="preserve">2014-2020 m. programavimo periodo metu vykdyta grąžinimų stebėsena (buvo stebėta </w:t>
            </w:r>
            <w:r w:rsidRPr="007C3BD1">
              <w:rPr>
                <w:rFonts w:ascii="Times New Roman" w:eastAsia="Times New Roman" w:hAnsi="Times New Roman" w:cs="Times New Roman"/>
                <w:noProof/>
                <w:highlight w:val="yellow"/>
                <w:lang w:val="en-US"/>
              </w:rPr>
              <w:t xml:space="preserve">80 </w:t>
            </w:r>
            <w:r w:rsidRPr="007C3BD1">
              <w:rPr>
                <w:rFonts w:ascii="Times New Roman" w:eastAsia="Times New Roman" w:hAnsi="Times New Roman" w:cs="Times New Roman"/>
                <w:noProof/>
                <w:highlight w:val="yellow"/>
              </w:rPr>
              <w:t xml:space="preserve">išsiuntimo operacijų) ir atitinkamai pateiktos rekomendacijos dalyvaujančioms institucijoms, siekiant gebėjimų ir kompetencijų didinimo. Bus stiprinamas bendradarbiavimas su trečiosiomis valstybėmis siekiant užtikrinti užsieniečių grąžinimo procesų ir readmisijos sutarčių įgyvendinimą. </w:t>
            </w:r>
            <w:r w:rsidRPr="007C3BD1">
              <w:rPr>
                <w:rFonts w:ascii="Times New Roman" w:eastAsia="Times New Roman" w:hAnsi="Times New Roman" w:cs="Times New Roman"/>
                <w:b/>
                <w:noProof/>
                <w:highlight w:val="yellow"/>
              </w:rPr>
              <w:t>Šiame periode bus ir toliau finansuojama grąžinimų stebėsena, taip pat siekiant stiprinti kovos su neteisėta migracija priemones ir užtikrinti grąžinimo ir readmisijos veiksmingumą bus atliekami sistemos ir vykdomos politikos poveikio vertinimai.</w:t>
            </w:r>
          </w:p>
          <w:p w:rsidR="007C3BD1" w:rsidRPr="007C3BD1" w:rsidRDefault="007C3BD1" w:rsidP="00C67CBD">
            <w:pPr>
              <w:spacing w:after="80"/>
              <w:jc w:val="both"/>
              <w:rPr>
                <w:rFonts w:ascii="Times New Roman" w:eastAsia="Times New Roman" w:hAnsi="Times New Roman" w:cs="Times New Roman"/>
                <w:noProof/>
                <w:highlight w:val="yellow"/>
              </w:rPr>
            </w:pPr>
            <w:r w:rsidRPr="007C3BD1">
              <w:rPr>
                <w:rFonts w:ascii="Times New Roman" w:eastAsia="Times New Roman" w:hAnsi="Times New Roman" w:cs="Times New Roman"/>
                <w:noProof/>
                <w:highlight w:val="yellow"/>
                <w:lang w:val="en-US"/>
              </w:rPr>
              <w:t xml:space="preserve">2021-2027 m. </w:t>
            </w:r>
            <w:r w:rsidRPr="007C3BD1">
              <w:rPr>
                <w:rFonts w:ascii="Times New Roman" w:eastAsia="Times New Roman" w:hAnsi="Times New Roman" w:cs="Times New Roman"/>
                <w:b/>
                <w:noProof/>
                <w:highlight w:val="yellow"/>
                <w:lang w:val="en-US"/>
              </w:rPr>
              <w:t>papildomą dėmesį planuojama skirti neteisėtos migracijos ir nelegalaus įdarbinimo prevencijos priemonėms ir jos padariniams šalinti</w:t>
            </w:r>
            <w:r w:rsidRPr="007C3BD1">
              <w:rPr>
                <w:rFonts w:ascii="Times New Roman" w:eastAsia="Times New Roman" w:hAnsi="Times New Roman" w:cs="Times New Roman"/>
                <w:noProof/>
                <w:highlight w:val="yellow"/>
                <w:lang w:val="en-US"/>
              </w:rPr>
              <w:t xml:space="preserve">, įskaitant ir situacijos analizę, bendradarbiavimo ir keitimosi patirtimis veiklas, paslaugas nukentėjusiesiems, darbuotojų ir darbdavių organizacijų įtraukimą, informuotumo didinimo kampanijas, siekiant informuoti darbdavius ir neteisėtus migrantus apie jų teises ir pareigas ir kitas priemones, </w:t>
            </w:r>
            <w:r w:rsidRPr="007C3BD1">
              <w:rPr>
                <w:rFonts w:ascii="Times New Roman" w:eastAsia="Times New Roman" w:hAnsi="Times New Roman" w:cs="Times New Roman"/>
                <w:noProof/>
                <w:highlight w:val="yellow"/>
              </w:rPr>
              <w:t xml:space="preserve">prisidedančias prie kovos su neteisėta migracija ir nelegaliu įdarbinimu, ypač </w:t>
            </w:r>
            <w:r w:rsidRPr="007C3BD1">
              <w:rPr>
                <w:rFonts w:ascii="Times New Roman" w:eastAsia="Times New Roman" w:hAnsi="Times New Roman" w:cs="Times New Roman"/>
                <w:noProof/>
                <w:highlight w:val="yellow"/>
              </w:rPr>
              <w:lastRenderedPageBreak/>
              <w:t xml:space="preserve">rizikinguose sektoriuose. Bus tobulinamas sisteminis pažeidžiamumo nustatymo ir psichologinės pagalbos teikimo modelis (didinamos specialistų kompetencijos, ypač pažeidžiamumo nustatymo nelegalaus darbo, priverstinio darbo, prekybos žmonėmis srityse), Grąžinimo srityje 2014-2020 m. kompetencijas pakėlė 100 specialistų. Šiame periode planuojama toliau </w:t>
            </w:r>
            <w:r w:rsidRPr="007C3BD1">
              <w:rPr>
                <w:rFonts w:ascii="Times New Roman" w:eastAsia="Times New Roman" w:hAnsi="Times New Roman" w:cs="Times New Roman"/>
                <w:b/>
                <w:noProof/>
                <w:highlight w:val="yellow"/>
              </w:rPr>
              <w:t>stiprinti sistemos kompetencijas, taip pat įtraukiant ir naujas sritis ir specialistus</w:t>
            </w:r>
            <w:r w:rsidRPr="007C3BD1">
              <w:rPr>
                <w:rFonts w:ascii="Times New Roman" w:eastAsia="Times New Roman" w:hAnsi="Times New Roman" w:cs="Times New Roman"/>
                <w:noProof/>
                <w:highlight w:val="yellow"/>
              </w:rPr>
              <w:t xml:space="preserve"> (pavyzdžiui, nelegalaus įdarbinimo srityje). </w:t>
            </w:r>
            <w:bookmarkEnd w:id="0"/>
          </w:p>
        </w:tc>
      </w:tr>
    </w:tbl>
    <w:p w:rsidR="00D40709" w:rsidRDefault="00D40709" w:rsidP="00D40709">
      <w:pPr>
        <w:spacing w:after="0" w:line="240" w:lineRule="auto"/>
        <w:jc w:val="both"/>
        <w:rPr>
          <w:rFonts w:ascii="Times New Roman" w:eastAsia="Times New Roman" w:hAnsi="Times New Roman" w:cs="Times New Roman"/>
          <w:b/>
          <w:sz w:val="24"/>
          <w:szCs w:val="24"/>
          <w:lang w:eastAsia="lt-LT"/>
        </w:rPr>
      </w:pPr>
    </w:p>
    <w:p w:rsidR="00D40709" w:rsidRPr="0088411E" w:rsidRDefault="00D40709" w:rsidP="00D40709">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w:t>
      </w:r>
      <w:r w:rsidR="007C3BD1">
        <w:rPr>
          <w:rFonts w:ascii="Times New Roman" w:eastAsia="Times New Roman" w:hAnsi="Times New Roman" w:cs="Times New Roman"/>
          <w:b/>
          <w:sz w:val="24"/>
          <w:szCs w:val="24"/>
          <w:lang w:eastAsia="lt-LT"/>
        </w:rPr>
        <w:t>3</w:t>
      </w:r>
      <w:r w:rsidRPr="0088411E">
        <w:rPr>
          <w:rFonts w:ascii="Times New Roman" w:eastAsia="Times New Roman" w:hAnsi="Times New Roman" w:cs="Times New Roman"/>
          <w:b/>
          <w:sz w:val="24"/>
          <w:szCs w:val="24"/>
          <w:lang w:eastAsia="lt-LT"/>
        </w:rPr>
        <w:t>.2 Indicators</w:t>
      </w:r>
    </w:p>
    <w:tbl>
      <w:tblPr>
        <w:tblW w:w="11910" w:type="dxa"/>
        <w:tblLayout w:type="fixed"/>
        <w:tblCellMar>
          <w:left w:w="0" w:type="dxa"/>
          <w:right w:w="0" w:type="dxa"/>
        </w:tblCellMar>
        <w:tblLook w:val="04A0" w:firstRow="1" w:lastRow="0" w:firstColumn="1" w:lastColumn="0" w:noHBand="0" w:noVBand="1"/>
      </w:tblPr>
      <w:tblGrid>
        <w:gridCol w:w="1101"/>
        <w:gridCol w:w="992"/>
        <w:gridCol w:w="236"/>
        <w:gridCol w:w="1040"/>
        <w:gridCol w:w="284"/>
        <w:gridCol w:w="1275"/>
        <w:gridCol w:w="284"/>
        <w:gridCol w:w="1133"/>
        <w:gridCol w:w="284"/>
        <w:gridCol w:w="850"/>
        <w:gridCol w:w="284"/>
        <w:gridCol w:w="425"/>
        <w:gridCol w:w="851"/>
        <w:gridCol w:w="430"/>
        <w:gridCol w:w="278"/>
        <w:gridCol w:w="56"/>
        <w:gridCol w:w="1823"/>
        <w:gridCol w:w="284"/>
      </w:tblGrid>
      <w:tr w:rsidR="00D40709" w:rsidRPr="0088411E" w:rsidTr="00237FBD">
        <w:trPr>
          <w:gridAfter w:val="3"/>
          <w:wAfter w:w="2163" w:type="dxa"/>
        </w:trPr>
        <w:tc>
          <w:tcPr>
            <w:tcW w:w="9747" w:type="dxa"/>
            <w:gridSpan w:val="1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Table 1: Output indicators</w:t>
            </w:r>
          </w:p>
        </w:tc>
      </w:tr>
      <w:tr w:rsidR="00D40709" w:rsidRPr="00D40709" w:rsidTr="00237FBD">
        <w:trPr>
          <w:gridAfter w:val="3"/>
          <w:wAfter w:w="2163"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Specific objective</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ID [5]</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ind w:left="34"/>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Indicator [255]</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Measurement unit</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Milestone (2024)</w:t>
            </w:r>
          </w:p>
        </w:tc>
        <w:tc>
          <w:tcPr>
            <w:tcW w:w="340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Target (2029)</w:t>
            </w:r>
          </w:p>
        </w:tc>
      </w:tr>
      <w:tr w:rsidR="00D40709" w:rsidRPr="00D40709" w:rsidTr="00237FBD">
        <w:trPr>
          <w:gridAfter w:val="3"/>
          <w:wAfter w:w="2163"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ind w:left="34"/>
              <w:jc w:val="both"/>
              <w:rPr>
                <w:rFonts w:ascii="Times New Roman" w:eastAsia="Times New Roman" w:hAnsi="Times New Roman" w:cs="Times New Roman"/>
                <w:sz w:val="20"/>
                <w:szCs w:val="24"/>
                <w:lang w:eastAsia="lt-L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340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D40709" w:rsidTr="00237FBD">
        <w:trPr>
          <w:gridAfter w:val="8"/>
          <w:wAfter w:w="4431" w:type="dxa"/>
        </w:trPr>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tabs>
                <w:tab w:val="left" w:pos="111"/>
              </w:tabs>
              <w:spacing w:after="0" w:line="240" w:lineRule="auto"/>
              <w:rPr>
                <w:rFonts w:ascii="Times New Roman" w:eastAsia="Times New Roman" w:hAnsi="Times New Roman" w:cs="Times New Roman"/>
                <w:sz w:val="20"/>
                <w:szCs w:val="24"/>
                <w:lang w:eastAsia="lt-LT"/>
              </w:rPr>
            </w:pP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r>
      <w:tr w:rsidR="00D40709" w:rsidRPr="0088411E" w:rsidTr="00237FBD">
        <w:trPr>
          <w:gridAfter w:val="1"/>
          <w:wAfter w:w="284" w:type="dxa"/>
        </w:trPr>
        <w:tc>
          <w:tcPr>
            <w:tcW w:w="11626" w:type="dxa"/>
            <w:gridSpan w:val="17"/>
            <w:shd w:val="clear" w:color="auto" w:fill="auto"/>
            <w:tcMar>
              <w:top w:w="0" w:type="dxa"/>
              <w:left w:w="108" w:type="dxa"/>
              <w:bottom w:w="0" w:type="dxa"/>
              <w:right w:w="108" w:type="dxa"/>
            </w:tcMar>
            <w:hideMark/>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Table 2: Result indicators</w:t>
            </w:r>
          </w:p>
        </w:tc>
      </w:tr>
      <w:tr w:rsidR="00D40709" w:rsidRPr="00D40709" w:rsidTr="00237FBD">
        <w:trPr>
          <w:gridAfter w:val="3"/>
          <w:wAfter w:w="2163" w:type="dxa"/>
        </w:trPr>
        <w:tc>
          <w:tcPr>
            <w:tcW w:w="11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Specific objective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ID [5]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Indicator [255]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Measurement unit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Baseline or reference value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Reference year</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Target (2029)</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Source of data [200]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0"/>
                <w:szCs w:val="24"/>
                <w:lang w:eastAsia="lt-LT"/>
              </w:rPr>
            </w:pPr>
            <w:r w:rsidRPr="0088411E">
              <w:rPr>
                <w:rFonts w:ascii="Times New Roman" w:eastAsia="Times New Roman" w:hAnsi="Times New Roman" w:cs="Times New Roman"/>
                <w:sz w:val="20"/>
                <w:szCs w:val="24"/>
                <w:lang w:eastAsia="lt-LT"/>
              </w:rPr>
              <w:t>Comments [200]</w:t>
            </w:r>
          </w:p>
        </w:tc>
      </w:tr>
      <w:tr w:rsidR="00D40709" w:rsidRPr="00D40709" w:rsidTr="00237FBD">
        <w:trPr>
          <w:gridAfter w:val="3"/>
          <w:wAfter w:w="2163" w:type="dxa"/>
        </w:trPr>
        <w:tc>
          <w:tcPr>
            <w:tcW w:w="11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D40709"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D40709" w:rsidTr="00237FBD">
        <w:tc>
          <w:tcPr>
            <w:tcW w:w="2093"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236" w:type="dxa"/>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32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1706" w:type="dxa"/>
            <w:gridSpan w:val="3"/>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334"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c>
          <w:tcPr>
            <w:tcW w:w="2107" w:type="dxa"/>
            <w:gridSpan w:val="2"/>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0"/>
                <w:szCs w:val="24"/>
                <w:lang w:eastAsia="lt-LT"/>
              </w:rPr>
            </w:pPr>
          </w:p>
        </w:tc>
      </w:tr>
    </w:tbl>
    <w:p w:rsidR="00D40709" w:rsidRDefault="00D40709" w:rsidP="00D40709">
      <w:pPr>
        <w:spacing w:after="0" w:line="240" w:lineRule="auto"/>
        <w:jc w:val="both"/>
        <w:rPr>
          <w:rFonts w:ascii="Times New Roman" w:eastAsia="Times New Roman" w:hAnsi="Times New Roman" w:cs="Times New Roman"/>
          <w:sz w:val="24"/>
          <w:szCs w:val="24"/>
          <w:lang w:eastAsia="lt-LT"/>
        </w:rPr>
      </w:pPr>
    </w:p>
    <w:p w:rsidR="00D40709" w:rsidRPr="0088411E" w:rsidRDefault="00D40709" w:rsidP="00D40709">
      <w:pPr>
        <w:spacing w:after="0" w:line="240" w:lineRule="auto"/>
        <w:jc w:val="both"/>
        <w:rPr>
          <w:rFonts w:ascii="Times New Roman" w:eastAsia="Times New Roman" w:hAnsi="Times New Roman" w:cs="Times New Roman"/>
          <w:b/>
          <w:sz w:val="24"/>
          <w:szCs w:val="24"/>
          <w:lang w:eastAsia="lt-LT"/>
        </w:rPr>
      </w:pPr>
      <w:r w:rsidRPr="0088411E">
        <w:rPr>
          <w:rFonts w:ascii="Times New Roman" w:eastAsia="Times New Roman" w:hAnsi="Times New Roman" w:cs="Times New Roman"/>
          <w:b/>
          <w:sz w:val="24"/>
          <w:szCs w:val="24"/>
          <w:lang w:eastAsia="lt-LT"/>
        </w:rPr>
        <w:t>2.</w:t>
      </w:r>
      <w:r w:rsidR="007C3BD1">
        <w:rPr>
          <w:rFonts w:ascii="Times New Roman" w:eastAsia="Times New Roman" w:hAnsi="Times New Roman" w:cs="Times New Roman"/>
          <w:b/>
          <w:sz w:val="24"/>
          <w:szCs w:val="24"/>
          <w:lang w:eastAsia="lt-LT"/>
        </w:rPr>
        <w:t>3</w:t>
      </w:r>
      <w:r w:rsidRPr="0088411E">
        <w:rPr>
          <w:rFonts w:ascii="Times New Roman" w:eastAsia="Times New Roman" w:hAnsi="Times New Roman" w:cs="Times New Roman"/>
          <w:b/>
          <w:sz w:val="24"/>
          <w:szCs w:val="24"/>
          <w:lang w:eastAsia="lt-LT"/>
        </w:rPr>
        <w:t>.3 Indicative breakdown of the programme resources (EU) by type of intervention</w:t>
      </w:r>
    </w:p>
    <w:p w:rsidR="00D40709" w:rsidRDefault="00D40709" w:rsidP="00D40709">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17(5) and Article 10(16) of the BMVI Regulation or Article 10(9) of the ISF Regulation or Article 10(8) of the AMIF Regulation</w:t>
      </w:r>
    </w:p>
    <w:p w:rsidR="00D40709" w:rsidRPr="0088411E" w:rsidRDefault="00D40709" w:rsidP="00D40709">
      <w:pPr>
        <w:spacing w:after="0" w:line="240" w:lineRule="auto"/>
        <w:jc w:val="both"/>
        <w:rPr>
          <w:rFonts w:ascii="Times New Roman" w:eastAsia="Times New Roman" w:hAnsi="Times New Roman" w:cs="Times New Roman"/>
          <w:sz w:val="24"/>
          <w:szCs w:val="24"/>
          <w:lang w:eastAsia="lt-LT"/>
        </w:rPr>
      </w:pPr>
    </w:p>
    <w:tbl>
      <w:tblPr>
        <w:tblW w:w="9534" w:type="dxa"/>
        <w:tblCellMar>
          <w:left w:w="0" w:type="dxa"/>
          <w:right w:w="0" w:type="dxa"/>
        </w:tblCellMar>
        <w:tblLook w:val="04A0" w:firstRow="1" w:lastRow="0" w:firstColumn="1" w:lastColumn="0" w:noHBand="0" w:noVBand="1"/>
      </w:tblPr>
      <w:tblGrid>
        <w:gridCol w:w="2542"/>
        <w:gridCol w:w="2784"/>
        <w:gridCol w:w="904"/>
        <w:gridCol w:w="3304"/>
      </w:tblGrid>
      <w:tr w:rsidR="00D40709" w:rsidRPr="0088411E" w:rsidTr="00237FBD">
        <w:tc>
          <w:tcPr>
            <w:tcW w:w="95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3</w:t>
            </w:r>
          </w:p>
        </w:tc>
      </w:tr>
      <w:tr w:rsidR="00D40709" w:rsidRPr="0088411E"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Specific objective</w:t>
            </w: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D40709" w:rsidP="00237FB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Indicative amount (Euro)</w:t>
            </w:r>
          </w:p>
        </w:tc>
      </w:tr>
      <w:tr w:rsidR="00D40709" w:rsidRPr="0088411E"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88411E" w:rsidRDefault="00D40709" w:rsidP="00237FBD">
            <w:pPr>
              <w:spacing w:after="0" w:line="240" w:lineRule="auto"/>
              <w:rPr>
                <w:rFonts w:ascii="Times New Roman" w:eastAsia="Times New Roman" w:hAnsi="Times New Roman" w:cs="Times New Roman"/>
                <w:sz w:val="24"/>
                <w:szCs w:val="24"/>
                <w:lang w:eastAsia="lt-LT"/>
              </w:rPr>
            </w:pPr>
          </w:p>
        </w:tc>
      </w:tr>
    </w:tbl>
    <w:p w:rsidR="00D40709" w:rsidRDefault="00D40709" w:rsidP="00D40709">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1.1.Operating support (ISF only)</w:t>
      </w:r>
    </w:p>
    <w:p w:rsidR="0088411E" w:rsidRPr="0088411E" w:rsidRDefault="0088411E" w:rsidP="0088411E">
      <w:pPr>
        <w:spacing w:after="0" w:line="240" w:lineRule="auto"/>
        <w:rPr>
          <w:rFonts w:ascii="Times New Roman" w:eastAsia="Times New Roman" w:hAnsi="Times New Roman" w:cs="Times New Roman"/>
          <w:vanish/>
          <w:sz w:val="24"/>
          <w:szCs w:val="24"/>
          <w:lang w:eastAsia="lt-LT"/>
        </w:rPr>
      </w:pPr>
    </w:p>
    <w:tbl>
      <w:tblPr>
        <w:tblW w:w="9680" w:type="dxa"/>
        <w:tblCellMar>
          <w:left w:w="0" w:type="dxa"/>
          <w:right w:w="0" w:type="dxa"/>
        </w:tblCellMar>
        <w:tblLook w:val="04A0" w:firstRow="1" w:lastRow="0" w:firstColumn="1" w:lastColumn="0" w:noHBand="0" w:noVBand="1"/>
      </w:tblPr>
      <w:tblGrid>
        <w:gridCol w:w="4143"/>
        <w:gridCol w:w="1190"/>
        <w:gridCol w:w="4347"/>
      </w:tblGrid>
      <w:tr w:rsidR="0088411E" w:rsidRPr="0088411E" w:rsidTr="007F59AD">
        <w:tc>
          <w:tcPr>
            <w:tcW w:w="96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4</w:t>
            </w:r>
          </w:p>
        </w:tc>
      </w:tr>
      <w:tr w:rsidR="0088411E" w:rsidRPr="0088411E" w:rsidTr="007F59AD">
        <w:tc>
          <w:tcPr>
            <w:tcW w:w="25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Indicative amount (Euro)</w:t>
            </w:r>
          </w:p>
        </w:tc>
      </w:tr>
      <w:tr w:rsidR="0088411E" w:rsidRPr="0088411E" w:rsidTr="007F59AD">
        <w:tc>
          <w:tcPr>
            <w:tcW w:w="25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4"/>
                <w:szCs w:val="24"/>
                <w:lang w:eastAsia="lt-LT"/>
              </w:rPr>
            </w:pPr>
          </w:p>
        </w:tc>
      </w:tr>
    </w:tbl>
    <w:p w:rsidR="007F59AD" w:rsidRDefault="007F59AD" w:rsidP="0088411E">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1.2.Technical assistance</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17(3)(e); Article 30 CPR; Article 31 CPR; Article 89 CPR;</w:t>
      </w:r>
    </w:p>
    <w:tbl>
      <w:tblPr>
        <w:tblW w:w="9747" w:type="dxa"/>
        <w:tblCellMar>
          <w:left w:w="0" w:type="dxa"/>
          <w:right w:w="0" w:type="dxa"/>
        </w:tblCellMar>
        <w:tblLook w:val="04A0" w:firstRow="1" w:lastRow="0" w:firstColumn="1" w:lastColumn="0" w:noHBand="0" w:noVBand="1"/>
      </w:tblPr>
      <w:tblGrid>
        <w:gridCol w:w="9747"/>
      </w:tblGrid>
      <w:tr w:rsidR="0088411E" w:rsidRPr="0088411E" w:rsidTr="007F59AD">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Text field [5 000] (Technical assistance under flat rate payments)</w:t>
            </w:r>
          </w:p>
        </w:tc>
      </w:tr>
      <w:tr w:rsidR="0088411E" w:rsidRPr="0088411E" w:rsidTr="007F59AD">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Text field [3000] (Technical assistance under payments not linked to costs)</w:t>
            </w:r>
          </w:p>
        </w:tc>
      </w:tr>
    </w:tbl>
    <w:p w:rsidR="0088411E" w:rsidRPr="0088411E" w:rsidRDefault="0088411E" w:rsidP="0088411E">
      <w:pPr>
        <w:spacing w:after="0" w:line="240" w:lineRule="auto"/>
        <w:rPr>
          <w:rFonts w:ascii="Times New Roman" w:eastAsia="Times New Roman" w:hAnsi="Times New Roman" w:cs="Times New Roman"/>
          <w:vanish/>
          <w:sz w:val="24"/>
          <w:szCs w:val="24"/>
          <w:lang w:eastAsia="lt-LT"/>
        </w:rPr>
      </w:pPr>
    </w:p>
    <w:tbl>
      <w:tblPr>
        <w:tblW w:w="9747" w:type="dxa"/>
        <w:tblCellMar>
          <w:left w:w="0" w:type="dxa"/>
          <w:right w:w="0" w:type="dxa"/>
        </w:tblCellMar>
        <w:tblLook w:val="04A0" w:firstRow="1" w:lastRow="0" w:firstColumn="1" w:lastColumn="0" w:noHBand="0" w:noVBand="1"/>
      </w:tblPr>
      <w:tblGrid>
        <w:gridCol w:w="3475"/>
        <w:gridCol w:w="1148"/>
        <w:gridCol w:w="5124"/>
      </w:tblGrid>
      <w:tr w:rsidR="0088411E" w:rsidRPr="0088411E" w:rsidTr="007F59AD">
        <w:tc>
          <w:tcPr>
            <w:tcW w:w="97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5</w:t>
            </w:r>
          </w:p>
        </w:tc>
      </w:tr>
      <w:tr w:rsidR="0088411E" w:rsidRPr="0088411E" w:rsidTr="007F59AD">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Code</w:t>
            </w:r>
          </w:p>
        </w:tc>
        <w:tc>
          <w:tcPr>
            <w:tcW w:w="32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Indicative amount (Euro)</w:t>
            </w:r>
          </w:p>
        </w:tc>
      </w:tr>
      <w:tr w:rsidR="0088411E" w:rsidRPr="0088411E" w:rsidTr="007F59AD">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r>
    </w:tbl>
    <w:p w:rsidR="007F59AD" w:rsidRDefault="007F59AD" w:rsidP="0088411E">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3.Financial plan</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17(3)(f)</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3.1. Financial appropriations by year</w:t>
      </w:r>
    </w:p>
    <w:tbl>
      <w:tblPr>
        <w:tblW w:w="9747" w:type="dxa"/>
        <w:tblLayout w:type="fixed"/>
        <w:tblCellMar>
          <w:left w:w="0" w:type="dxa"/>
          <w:right w:w="0" w:type="dxa"/>
        </w:tblCellMar>
        <w:tblLook w:val="04A0" w:firstRow="1" w:lastRow="0" w:firstColumn="1" w:lastColumn="0" w:noHBand="0" w:noVBand="1"/>
      </w:tblPr>
      <w:tblGrid>
        <w:gridCol w:w="959"/>
        <w:gridCol w:w="992"/>
        <w:gridCol w:w="851"/>
        <w:gridCol w:w="992"/>
        <w:gridCol w:w="850"/>
        <w:gridCol w:w="993"/>
        <w:gridCol w:w="850"/>
        <w:gridCol w:w="992"/>
        <w:gridCol w:w="2268"/>
      </w:tblGrid>
      <w:tr w:rsidR="0088411E" w:rsidRPr="0088411E" w:rsidTr="00AC3BEB">
        <w:tc>
          <w:tcPr>
            <w:tcW w:w="974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6</w:t>
            </w:r>
          </w:p>
        </w:tc>
      </w:tr>
      <w:tr w:rsidR="00AC3BEB" w:rsidRPr="0088411E" w:rsidTr="00AC3BEB">
        <w:tc>
          <w:tcPr>
            <w:tcW w:w="9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Fund</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2021</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2022</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2023</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2024</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2025</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2026</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2027</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7F59AD">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Total</w:t>
            </w:r>
          </w:p>
        </w:tc>
      </w:tr>
      <w:tr w:rsidR="00AC3BEB" w:rsidRPr="0088411E" w:rsidTr="00AC3BEB">
        <w:tc>
          <w:tcPr>
            <w:tcW w:w="9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88411E" w:rsidRDefault="00AC3BEB" w:rsidP="007F59AD">
            <w:pPr>
              <w:spacing w:after="0" w:line="240" w:lineRule="auto"/>
              <w:jc w:val="both"/>
              <w:rPr>
                <w:rFonts w:ascii="Times New Roman" w:eastAsia="Times New Roman" w:hAnsi="Times New Roman" w:cs="Times New Roman"/>
                <w:sz w:val="24"/>
                <w:szCs w:val="24"/>
                <w:lang w:eastAsia="lt-LT"/>
              </w:rPr>
            </w:pPr>
          </w:p>
        </w:tc>
      </w:tr>
    </w:tbl>
    <w:p w:rsidR="00AC3BEB" w:rsidRDefault="00AC3BEB" w:rsidP="0088411E">
      <w:pPr>
        <w:spacing w:after="0" w:line="240" w:lineRule="auto"/>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3.2 Total financial appropriations from the Fund and national co-financing</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17(3)(f) (iv)</w:t>
      </w:r>
    </w:p>
    <w:tbl>
      <w:tblPr>
        <w:tblW w:w="9747" w:type="dxa"/>
        <w:tblLayout w:type="fixed"/>
        <w:tblCellMar>
          <w:left w:w="0" w:type="dxa"/>
          <w:right w:w="0" w:type="dxa"/>
        </w:tblCellMar>
        <w:tblLook w:val="04A0" w:firstRow="1" w:lastRow="0" w:firstColumn="1" w:lastColumn="0" w:noHBand="0" w:noVBand="1"/>
      </w:tblPr>
      <w:tblGrid>
        <w:gridCol w:w="1101"/>
        <w:gridCol w:w="1559"/>
        <w:gridCol w:w="1417"/>
        <w:gridCol w:w="709"/>
        <w:gridCol w:w="1134"/>
        <w:gridCol w:w="851"/>
        <w:gridCol w:w="850"/>
        <w:gridCol w:w="851"/>
        <w:gridCol w:w="1275"/>
      </w:tblGrid>
      <w:tr w:rsidR="0088411E" w:rsidRPr="0088411E" w:rsidTr="00974397">
        <w:tc>
          <w:tcPr>
            <w:tcW w:w="974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Table 7</w:t>
            </w: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Specific objective</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Basis for calculation EU support (total or public)</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EU contribution (a)</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National contribution (b)=(c)+(d)</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Indicative breakdown of national contribution</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Total</w:t>
            </w:r>
          </w:p>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e=(a)+(b)</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Co-financing rate (f)=(a)/(e)</w:t>
            </w: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public (c )</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private (d)</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Specific objective 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1 [Reference to Article 8(1)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2 [Reference to Article 8(2)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3 [Reference to Article 8(3) and 8(4)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4 [Reference to Article 14 and 15 of AMIF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Total for SO 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SO 2</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1 [Reference to Article 8(1)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2 [Reference to Article 8(2)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3 [Reference to Article 8(3) and 8(4)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Total for SO 2</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SO 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1 [Reference to Article 8(1)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2 [Reference to Article 8(2)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Type of action no 3 [Reference to Article 8(3) and 8(4)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Total for SO 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TA (Art 30 CPR)</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TA (Art 31 CPR)</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r w:rsidR="00974397" w:rsidRPr="00974397"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jc w:val="both"/>
              <w:rPr>
                <w:rFonts w:ascii="Times New Roman" w:eastAsia="Times New Roman" w:hAnsi="Times New Roman" w:cs="Times New Roman"/>
                <w:sz w:val="20"/>
                <w:szCs w:val="20"/>
                <w:lang w:eastAsia="lt-LT"/>
              </w:rPr>
            </w:pPr>
            <w:r w:rsidRPr="0088411E">
              <w:rPr>
                <w:rFonts w:ascii="Times New Roman" w:eastAsia="Times New Roman" w:hAnsi="Times New Roman" w:cs="Times New Roman"/>
                <w:sz w:val="20"/>
                <w:szCs w:val="20"/>
                <w:lang w:eastAsia="lt-LT"/>
              </w:rPr>
              <w:t>Grand total</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AC3BEB">
            <w:pPr>
              <w:spacing w:after="0" w:line="240" w:lineRule="auto"/>
              <w:rPr>
                <w:rFonts w:ascii="Times New Roman" w:eastAsia="Times New Roman" w:hAnsi="Times New Roman" w:cs="Times New Roman"/>
                <w:sz w:val="20"/>
                <w:szCs w:val="20"/>
                <w:lang w:eastAsia="lt-LT"/>
              </w:rPr>
            </w:pPr>
          </w:p>
        </w:tc>
      </w:tr>
    </w:tbl>
    <w:p w:rsidR="0088411E" w:rsidRPr="0088411E" w:rsidRDefault="0088411E" w:rsidP="0088411E">
      <w:pPr>
        <w:spacing w:after="0" w:line="240" w:lineRule="auto"/>
        <w:rPr>
          <w:rFonts w:ascii="Times New Roman" w:eastAsia="Times New Roman" w:hAnsi="Times New Roman" w:cs="Times New Roman"/>
          <w:vanish/>
          <w:sz w:val="24"/>
          <w:szCs w:val="24"/>
          <w:lang w:eastAsia="lt-LT"/>
        </w:rPr>
      </w:pPr>
    </w:p>
    <w:tbl>
      <w:tblPr>
        <w:tblW w:w="9761" w:type="dxa"/>
        <w:tblCellMar>
          <w:left w:w="0" w:type="dxa"/>
          <w:right w:w="0" w:type="dxa"/>
        </w:tblCellMar>
        <w:tblLook w:val="04A0" w:firstRow="1" w:lastRow="0" w:firstColumn="1" w:lastColumn="0" w:noHBand="0" w:noVBand="1"/>
      </w:tblPr>
      <w:tblGrid>
        <w:gridCol w:w="1949"/>
        <w:gridCol w:w="971"/>
        <w:gridCol w:w="880"/>
        <w:gridCol w:w="989"/>
        <w:gridCol w:w="1131"/>
        <w:gridCol w:w="1134"/>
        <w:gridCol w:w="1134"/>
        <w:gridCol w:w="1559"/>
        <w:gridCol w:w="14"/>
      </w:tblGrid>
      <w:tr w:rsidR="0088411E" w:rsidRPr="0088411E" w:rsidTr="00974397">
        <w:trPr>
          <w:gridAfter w:val="1"/>
        </w:trPr>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8 [AMIF only]</w:t>
            </w:r>
          </w:p>
        </w:tc>
        <w:tc>
          <w:tcPr>
            <w:tcW w:w="7798"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Number of persons per year</w:t>
            </w:r>
          </w:p>
        </w:tc>
      </w:tr>
      <w:tr w:rsidR="00974397" w:rsidRPr="0088411E"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Category</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2021</w:t>
            </w: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2022</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2023</w:t>
            </w: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2024</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2026</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2027</w:t>
            </w:r>
          </w:p>
        </w:tc>
        <w:tc>
          <w:tcPr>
            <w:tcW w:w="0" w:type="auto"/>
            <w:shd w:val="clear" w:color="auto" w:fill="auto"/>
            <w:vAlign w:val="center"/>
            <w:hideMark/>
          </w:tcPr>
          <w:p w:rsidR="0088411E" w:rsidRPr="0088411E" w:rsidRDefault="0088411E" w:rsidP="00974397">
            <w:pPr>
              <w:spacing w:after="0" w:line="240" w:lineRule="auto"/>
              <w:rPr>
                <w:rFonts w:ascii="Times New Roman" w:eastAsia="Times New Roman" w:hAnsi="Times New Roman" w:cs="Times New Roman"/>
                <w:sz w:val="20"/>
                <w:szCs w:val="20"/>
                <w:lang w:eastAsia="lt-LT"/>
              </w:rPr>
            </w:pPr>
          </w:p>
        </w:tc>
      </w:tr>
      <w:tr w:rsidR="00974397" w:rsidRPr="0088411E"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Resettlement</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0" w:type="auto"/>
            <w:shd w:val="clear" w:color="auto" w:fill="auto"/>
            <w:vAlign w:val="center"/>
            <w:hideMark/>
          </w:tcPr>
          <w:p w:rsidR="0088411E" w:rsidRPr="0088411E" w:rsidRDefault="0088411E" w:rsidP="0088411E">
            <w:pPr>
              <w:spacing w:after="0" w:line="240" w:lineRule="auto"/>
              <w:rPr>
                <w:rFonts w:ascii="Times New Roman" w:eastAsia="Times New Roman" w:hAnsi="Times New Roman" w:cs="Times New Roman"/>
                <w:sz w:val="20"/>
                <w:szCs w:val="20"/>
                <w:lang w:eastAsia="lt-LT"/>
              </w:rPr>
            </w:pPr>
          </w:p>
        </w:tc>
      </w:tr>
      <w:tr w:rsidR="00974397" w:rsidRPr="0088411E"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Humanitarian admission</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0" w:type="auto"/>
            <w:shd w:val="clear" w:color="auto" w:fill="auto"/>
            <w:vAlign w:val="center"/>
            <w:hideMark/>
          </w:tcPr>
          <w:p w:rsidR="0088411E" w:rsidRPr="0088411E" w:rsidRDefault="0088411E" w:rsidP="0088411E">
            <w:pPr>
              <w:spacing w:after="0" w:line="240" w:lineRule="auto"/>
              <w:rPr>
                <w:rFonts w:ascii="Times New Roman" w:eastAsia="Times New Roman" w:hAnsi="Times New Roman" w:cs="Times New Roman"/>
                <w:sz w:val="20"/>
                <w:szCs w:val="20"/>
                <w:lang w:eastAsia="lt-LT"/>
              </w:rPr>
            </w:pPr>
          </w:p>
        </w:tc>
      </w:tr>
      <w:tr w:rsidR="00974397" w:rsidRPr="0088411E"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[other categories]</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sz w:val="24"/>
                <w:szCs w:val="24"/>
                <w:lang w:eastAsia="lt-LT"/>
              </w:rPr>
            </w:pPr>
          </w:p>
        </w:tc>
        <w:tc>
          <w:tcPr>
            <w:tcW w:w="0" w:type="auto"/>
            <w:shd w:val="clear" w:color="auto" w:fill="auto"/>
            <w:vAlign w:val="center"/>
            <w:hideMark/>
          </w:tcPr>
          <w:p w:rsidR="0088411E" w:rsidRPr="0088411E" w:rsidRDefault="0088411E" w:rsidP="0088411E">
            <w:pPr>
              <w:spacing w:after="0" w:line="240" w:lineRule="auto"/>
              <w:rPr>
                <w:rFonts w:ascii="Times New Roman" w:eastAsia="Times New Roman" w:hAnsi="Times New Roman" w:cs="Times New Roman"/>
                <w:sz w:val="20"/>
                <w:szCs w:val="20"/>
                <w:lang w:eastAsia="lt-LT"/>
              </w:rPr>
            </w:pPr>
          </w:p>
        </w:tc>
      </w:tr>
    </w:tbl>
    <w:p w:rsidR="00974397" w:rsidRDefault="00974397" w:rsidP="0088411E">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b/>
          <w:sz w:val="24"/>
          <w:szCs w:val="24"/>
          <w:lang w:eastAsia="lt-LT"/>
        </w:rPr>
      </w:pPr>
      <w:r w:rsidRPr="00974397">
        <w:rPr>
          <w:rFonts w:ascii="Times New Roman" w:eastAsia="Times New Roman" w:hAnsi="Times New Roman" w:cs="Times New Roman"/>
          <w:b/>
          <w:sz w:val="24"/>
          <w:szCs w:val="24"/>
          <w:lang w:eastAsia="lt-LT"/>
        </w:rPr>
        <w:t>4.</w:t>
      </w:r>
      <w:r w:rsidR="00974397" w:rsidRPr="00974397">
        <w:rPr>
          <w:rFonts w:ascii="Times New Roman" w:eastAsia="Times New Roman" w:hAnsi="Times New Roman" w:cs="Times New Roman"/>
          <w:b/>
          <w:sz w:val="24"/>
          <w:szCs w:val="24"/>
          <w:lang w:eastAsia="lt-LT"/>
        </w:rPr>
        <w:t xml:space="preserve"> </w:t>
      </w:r>
      <w:r w:rsidRPr="0088411E">
        <w:rPr>
          <w:rFonts w:ascii="Times New Roman" w:eastAsia="Times New Roman" w:hAnsi="Times New Roman" w:cs="Times New Roman"/>
          <w:b/>
          <w:sz w:val="24"/>
          <w:szCs w:val="24"/>
          <w:lang w:eastAsia="lt-LT"/>
        </w:rPr>
        <w:t>Enabling conditions</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17(3)(h)</w:t>
      </w:r>
    </w:p>
    <w:tbl>
      <w:tblPr>
        <w:tblW w:w="9837" w:type="dxa"/>
        <w:tblCellMar>
          <w:left w:w="0" w:type="dxa"/>
          <w:right w:w="0" w:type="dxa"/>
        </w:tblCellMar>
        <w:tblLook w:val="04A0" w:firstRow="1" w:lastRow="0" w:firstColumn="1" w:lastColumn="0" w:noHBand="0" w:noVBand="1"/>
      </w:tblPr>
      <w:tblGrid>
        <w:gridCol w:w="1242"/>
        <w:gridCol w:w="1418"/>
        <w:gridCol w:w="1605"/>
        <w:gridCol w:w="1230"/>
        <w:gridCol w:w="2952"/>
        <w:gridCol w:w="1390"/>
      </w:tblGrid>
      <w:tr w:rsidR="0088411E" w:rsidRPr="0088411E" w:rsidTr="00974397">
        <w:tc>
          <w:tcPr>
            <w:tcW w:w="983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9</w:t>
            </w:r>
          </w:p>
        </w:tc>
      </w:tr>
      <w:tr w:rsidR="0088411E" w:rsidRPr="0088411E" w:rsidTr="00974397">
        <w:tc>
          <w:tcPr>
            <w:tcW w:w="124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Enabling condition</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Fulfilment of enabling condition</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Criteria</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Fulfilment of criteria</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to relevant documents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Justification</w:t>
            </w:r>
          </w:p>
        </w:tc>
      </w:tr>
      <w:tr w:rsidR="0088411E" w:rsidRPr="0088411E" w:rsidTr="00974397">
        <w:tc>
          <w:tcPr>
            <w:tcW w:w="124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Criterion 1</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Y/N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[1000]</w:t>
            </w:r>
          </w:p>
        </w:tc>
      </w:tr>
      <w:tr w:rsidR="0088411E" w:rsidRPr="0088411E" w:rsidTr="00974397">
        <w:tc>
          <w:tcPr>
            <w:tcW w:w="124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Criterion 2</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r>
    </w:tbl>
    <w:p w:rsidR="00974397" w:rsidRDefault="00974397" w:rsidP="0088411E">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b/>
          <w:sz w:val="24"/>
          <w:szCs w:val="24"/>
          <w:lang w:eastAsia="lt-LT"/>
        </w:rPr>
      </w:pPr>
      <w:r w:rsidRPr="00974397">
        <w:rPr>
          <w:rFonts w:ascii="Times New Roman" w:eastAsia="Times New Roman" w:hAnsi="Times New Roman" w:cs="Times New Roman"/>
          <w:b/>
          <w:sz w:val="24"/>
          <w:szCs w:val="24"/>
          <w:lang w:eastAsia="lt-LT"/>
        </w:rPr>
        <w:t>5.</w:t>
      </w:r>
      <w:r w:rsidRPr="0088411E">
        <w:rPr>
          <w:rFonts w:ascii="Times New Roman" w:eastAsia="Times New Roman" w:hAnsi="Times New Roman" w:cs="Times New Roman"/>
          <w:b/>
          <w:sz w:val="24"/>
          <w:szCs w:val="24"/>
          <w:lang w:eastAsia="lt-LT"/>
        </w:rPr>
        <w:t>Programme authorities</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17(3)(j); Article 65 and 78 CPR</w:t>
      </w:r>
    </w:p>
    <w:tbl>
      <w:tblPr>
        <w:tblW w:w="9889" w:type="dxa"/>
        <w:tblCellMar>
          <w:left w:w="0" w:type="dxa"/>
          <w:right w:w="0" w:type="dxa"/>
        </w:tblCellMar>
        <w:tblLook w:val="04A0" w:firstRow="1" w:lastRow="0" w:firstColumn="1" w:lastColumn="0" w:noHBand="0" w:noVBand="1"/>
      </w:tblPr>
      <w:tblGrid>
        <w:gridCol w:w="2660"/>
        <w:gridCol w:w="2741"/>
        <w:gridCol w:w="2967"/>
        <w:gridCol w:w="1521"/>
      </w:tblGrid>
      <w:tr w:rsidR="0088411E" w:rsidRPr="0088411E"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Table 10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Name of the institution [500]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Contact name and position [200]</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e-mail [200]</w:t>
            </w:r>
          </w:p>
        </w:tc>
      </w:tr>
      <w:tr w:rsidR="0088411E" w:rsidRPr="0088411E"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Managing authority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r>
      <w:tr w:rsidR="0088411E" w:rsidRPr="0088411E"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Audit authority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r>
      <w:tr w:rsidR="0088411E" w:rsidRPr="0088411E"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Body which receives payments from the Commission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88411E" w:rsidRDefault="0088411E" w:rsidP="00974397">
            <w:pPr>
              <w:spacing w:after="0" w:line="240" w:lineRule="auto"/>
              <w:rPr>
                <w:rFonts w:ascii="Times New Roman" w:eastAsia="Times New Roman" w:hAnsi="Times New Roman" w:cs="Times New Roman"/>
                <w:sz w:val="24"/>
                <w:szCs w:val="24"/>
                <w:lang w:eastAsia="lt-LT"/>
              </w:rPr>
            </w:pPr>
          </w:p>
        </w:tc>
      </w:tr>
    </w:tbl>
    <w:p w:rsidR="00974397" w:rsidRDefault="00974397" w:rsidP="0088411E">
      <w:pPr>
        <w:spacing w:after="0" w:line="240" w:lineRule="auto"/>
        <w:ind w:left="468"/>
        <w:jc w:val="both"/>
        <w:rPr>
          <w:rFonts w:ascii="Times New Roman" w:eastAsia="Times New Roman" w:hAnsi="Times New Roman" w:cs="Times New Roman"/>
          <w:sz w:val="24"/>
          <w:szCs w:val="24"/>
          <w:lang w:eastAsia="lt-LT"/>
        </w:rPr>
      </w:pPr>
    </w:p>
    <w:p w:rsidR="0088411E" w:rsidRPr="0088411E" w:rsidRDefault="0088411E" w:rsidP="0088411E">
      <w:pPr>
        <w:spacing w:after="0" w:line="240" w:lineRule="auto"/>
        <w:ind w:left="468"/>
        <w:jc w:val="both"/>
        <w:rPr>
          <w:rFonts w:ascii="Times New Roman" w:eastAsia="Times New Roman" w:hAnsi="Times New Roman" w:cs="Times New Roman"/>
          <w:b/>
          <w:sz w:val="24"/>
          <w:szCs w:val="24"/>
          <w:lang w:eastAsia="lt-LT"/>
        </w:rPr>
      </w:pPr>
      <w:r w:rsidRPr="00974397">
        <w:rPr>
          <w:rFonts w:ascii="Times New Roman" w:eastAsia="Times New Roman" w:hAnsi="Times New Roman" w:cs="Times New Roman"/>
          <w:b/>
          <w:sz w:val="24"/>
          <w:szCs w:val="24"/>
          <w:lang w:eastAsia="lt-LT"/>
        </w:rPr>
        <w:t>6.</w:t>
      </w:r>
      <w:r w:rsidRPr="0088411E">
        <w:rPr>
          <w:rFonts w:ascii="Times New Roman" w:eastAsia="Times New Roman" w:hAnsi="Times New Roman" w:cs="Times New Roman"/>
          <w:b/>
          <w:sz w:val="24"/>
          <w:szCs w:val="24"/>
          <w:lang w:eastAsia="lt-LT"/>
        </w:rPr>
        <w:t>Partnership</w:t>
      </w:r>
    </w:p>
    <w:p w:rsidR="0088411E" w:rsidRPr="0088411E" w:rsidRDefault="0088411E" w:rsidP="0088411E">
      <w:pPr>
        <w:spacing w:after="0" w:line="240" w:lineRule="auto"/>
        <w:jc w:val="both"/>
        <w:rPr>
          <w:rFonts w:ascii="Times New Roman" w:eastAsia="Times New Roman" w:hAnsi="Times New Roman" w:cs="Times New Roman"/>
          <w:sz w:val="24"/>
          <w:szCs w:val="24"/>
          <w:lang w:eastAsia="lt-LT"/>
        </w:rPr>
      </w:pPr>
      <w:r w:rsidRPr="0088411E">
        <w:rPr>
          <w:rFonts w:ascii="Times New Roman" w:eastAsia="Times New Roman" w:hAnsi="Times New Roman" w:cs="Times New Roman"/>
          <w:sz w:val="24"/>
          <w:szCs w:val="24"/>
          <w:lang w:eastAsia="lt-LT"/>
        </w:rPr>
        <w:t>Reference: Article 17(3)(g);</w:t>
      </w:r>
    </w:p>
    <w:tbl>
      <w:tblPr>
        <w:tblW w:w="9889" w:type="dxa"/>
        <w:tblCellMar>
          <w:left w:w="0" w:type="dxa"/>
          <w:right w:w="0" w:type="dxa"/>
        </w:tblCellMar>
        <w:tblLook w:val="04A0" w:firstRow="1" w:lastRow="0" w:firstColumn="1" w:lastColumn="0" w:noHBand="0" w:noVBand="1"/>
      </w:tblPr>
      <w:tblGrid>
        <w:gridCol w:w="9889"/>
      </w:tblGrid>
      <w:tr w:rsidR="0088411E" w:rsidRPr="0088411E" w:rsidTr="00974397">
        <w:tc>
          <w:tcPr>
            <w:tcW w:w="98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974397" w:rsidRPr="00974397" w:rsidRDefault="00974397" w:rsidP="00974397">
            <w:pPr>
              <w:spacing w:after="0" w:line="240" w:lineRule="auto"/>
              <w:jc w:val="both"/>
              <w:rPr>
                <w:rFonts w:ascii="Times New Roman" w:eastAsia="Times New Roman" w:hAnsi="Times New Roman" w:cs="Times New Roman"/>
                <w:sz w:val="24"/>
                <w:szCs w:val="24"/>
                <w:highlight w:val="yellow"/>
                <w:lang w:eastAsia="lt-LT"/>
              </w:rPr>
            </w:pPr>
            <w:r w:rsidRPr="00974397">
              <w:rPr>
                <w:rFonts w:ascii="Times New Roman" w:eastAsia="Times New Roman" w:hAnsi="Times New Roman" w:cs="Times New Roman"/>
                <w:sz w:val="24"/>
                <w:szCs w:val="24"/>
                <w:highlight w:val="yellow"/>
                <w:lang w:eastAsia="lt-LT"/>
              </w:rPr>
              <w:t xml:space="preserve">Programos rengimo metu organizuoti susitikimai su institucijomis ir socialiniais ir ekonomianiais partneriais, dabartiniais pareiškėjais.  viso fondo investicinių krypčių klausimais. 2019 m. IV ketv. susitikimo metu pristatyta Lietuvos pažanga prieglbosčio, migracijos ir grąžinimo srityse, įtrauktos nevyriausyvinės organizacijos, pagal kompetenciją už įvairias sritis atsakingos institucijos, paskelbtas kvietimas visuomenei. 2020 m. I ketv. organizuoti susitikimai su partneriais ir institucijomis siauresniais klausimais (prieglobsčio sistema, darbo rinka, integracijos paslaugos, grąžinimo sistema, nelegalaus darbo problemos ir pan.). Programos projektas pateiktas derinti atsakingos institucijoms, nevyriausybinėms ir Lietuvoje veikiančioms tarptautinėms organizacijoms, </w:t>
            </w:r>
            <w:r w:rsidRPr="00974397">
              <w:rPr>
                <w:rFonts w:ascii="Times New Roman" w:eastAsia="Times New Roman" w:hAnsi="Times New Roman" w:cs="Times New Roman"/>
                <w:sz w:val="24"/>
                <w:szCs w:val="24"/>
                <w:highlight w:val="yellow"/>
                <w:lang w:eastAsia="lt-LT"/>
              </w:rPr>
              <w:lastRenderedPageBreak/>
              <w:t>akademikams, taip pat 2014-2020 m. PMIF stebėsenos komitetui, į kurio sudėtį yra įtrauktos institucijos ir partneriai vadovaujantis partnerystės principais. Siekiant užtikrinti sinergiją su Europos socialinio fondo ir Europos regioninės plėtros fondo investicijomis yra dalyvaujama šių fondų vadovaujančios institucijos posėdžiuose, teikiami pasiūlymai r informacija apie PMIF planuojamas investicijas.</w:t>
            </w:r>
          </w:p>
          <w:p w:rsidR="00974397" w:rsidRPr="00974397" w:rsidRDefault="00974397" w:rsidP="00974397">
            <w:pPr>
              <w:spacing w:after="0" w:line="240" w:lineRule="auto"/>
              <w:jc w:val="both"/>
              <w:rPr>
                <w:rFonts w:ascii="Times New Roman" w:eastAsia="Times New Roman" w:hAnsi="Times New Roman" w:cs="Times New Roman"/>
                <w:sz w:val="24"/>
                <w:szCs w:val="24"/>
                <w:highlight w:val="yellow"/>
                <w:lang w:eastAsia="lt-LT"/>
              </w:rPr>
            </w:pPr>
          </w:p>
          <w:p w:rsidR="0088411E" w:rsidRPr="0088411E" w:rsidRDefault="00974397" w:rsidP="00974397">
            <w:pPr>
              <w:spacing w:after="0" w:line="240" w:lineRule="auto"/>
              <w:jc w:val="both"/>
              <w:rPr>
                <w:rFonts w:ascii="Times New Roman" w:eastAsia="Times New Roman" w:hAnsi="Times New Roman" w:cs="Times New Roman"/>
                <w:sz w:val="24"/>
                <w:szCs w:val="24"/>
                <w:highlight w:val="yellow"/>
                <w:lang w:eastAsia="lt-LT"/>
              </w:rPr>
            </w:pPr>
            <w:r w:rsidRPr="00974397">
              <w:rPr>
                <w:rFonts w:ascii="Times New Roman" w:eastAsia="Times New Roman" w:hAnsi="Times New Roman" w:cs="Times New Roman"/>
                <w:sz w:val="24"/>
                <w:szCs w:val="24"/>
                <w:highlight w:val="yellow"/>
                <w:lang w:eastAsia="lt-LT"/>
              </w:rPr>
              <w:t>Parterių vaidmuo įgyvendinant programą išlieka aktualus. Į Stebėsenos komiteto sudėtį ir toliau bus įtraukiami visi reikalingi partneriai. Rengiant konkrečias sąlygas kvietimams teikti paraiškas ir projektų atrankos kriterijus – projektai skelbiami viešai visuomenės pastaboms ir teikiami derinti Stebėsenos komitetui. Papildomai su Stebėsenos komitetu kiekvienais metais yra derinama metinė veiklos rezultatų ataskaita. 2021-2027 m. papildomai planuojama dėti pastangas siekiant į investicijų įgyvendinimą įtraukti Nacionalinę teismų administraciją, Lietuvos advokatūrą, darbdavių ir darbuotojų organizacijas, taip pat stiprinti tikslinės grupės atstovvų ir jų organizacijų kompentencijas ir įsitraukimą.</w:t>
            </w:r>
          </w:p>
        </w:tc>
      </w:tr>
    </w:tbl>
    <w:p w:rsidR="0088411E" w:rsidRPr="0088411E" w:rsidRDefault="0088411E" w:rsidP="0088411E">
      <w:pPr>
        <w:shd w:val="clear" w:color="auto" w:fill="FFFFFF"/>
        <w:spacing w:after="0" w:line="240" w:lineRule="auto"/>
        <w:ind w:left="468"/>
        <w:jc w:val="both"/>
        <w:rPr>
          <w:rFonts w:ascii="Times New Roman" w:eastAsia="Times New Roman" w:hAnsi="Times New Roman" w:cs="Times New Roman"/>
          <w:b/>
          <w:color w:val="444444"/>
          <w:sz w:val="27"/>
          <w:szCs w:val="27"/>
          <w:lang w:eastAsia="lt-LT"/>
        </w:rPr>
      </w:pPr>
      <w:r w:rsidRPr="00974397">
        <w:rPr>
          <w:rFonts w:ascii="Times New Roman" w:eastAsia="Times New Roman" w:hAnsi="Times New Roman" w:cs="Times New Roman"/>
          <w:b/>
          <w:color w:val="444444"/>
          <w:sz w:val="27"/>
          <w:szCs w:val="27"/>
          <w:lang w:eastAsia="lt-LT"/>
        </w:rPr>
        <w:lastRenderedPageBreak/>
        <w:t>7.</w:t>
      </w:r>
      <w:r w:rsidRPr="0088411E">
        <w:rPr>
          <w:rFonts w:ascii="Times New Roman" w:eastAsia="Times New Roman" w:hAnsi="Times New Roman" w:cs="Times New Roman"/>
          <w:b/>
          <w:color w:val="444444"/>
          <w:sz w:val="27"/>
          <w:szCs w:val="27"/>
          <w:lang w:eastAsia="lt-LT"/>
        </w:rPr>
        <w:t>Communication and visibility</w:t>
      </w:r>
    </w:p>
    <w:p w:rsidR="0088411E" w:rsidRPr="0088411E" w:rsidRDefault="0088411E" w:rsidP="0088411E">
      <w:pPr>
        <w:shd w:val="clear" w:color="auto" w:fill="FFFFFF"/>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Reference: Article 17(3)(i) CPR, Article 42(2)</w:t>
      </w:r>
    </w:p>
    <w:tbl>
      <w:tblPr>
        <w:tblW w:w="9747" w:type="dxa"/>
        <w:shd w:val="clear" w:color="auto" w:fill="FFFFFF"/>
        <w:tblCellMar>
          <w:left w:w="0" w:type="dxa"/>
          <w:right w:w="0" w:type="dxa"/>
        </w:tblCellMar>
        <w:tblLook w:val="04A0" w:firstRow="1" w:lastRow="0" w:firstColumn="1" w:lastColumn="0" w:noHBand="0" w:noVBand="1"/>
      </w:tblPr>
      <w:tblGrid>
        <w:gridCol w:w="9747"/>
      </w:tblGrid>
      <w:tr w:rsidR="0088411E" w:rsidRPr="0088411E" w:rsidTr="00D40709">
        <w:tc>
          <w:tcPr>
            <w:tcW w:w="97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D40709" w:rsidP="00D40709">
            <w:pPr>
              <w:spacing w:after="0" w:line="240" w:lineRule="auto"/>
              <w:jc w:val="both"/>
              <w:rPr>
                <w:rFonts w:ascii="Times New Roman" w:eastAsia="Times New Roman" w:hAnsi="Times New Roman" w:cs="Times New Roman"/>
                <w:color w:val="444444"/>
                <w:sz w:val="27"/>
                <w:szCs w:val="27"/>
                <w:highlight w:val="yellow"/>
                <w:lang w:eastAsia="lt-LT"/>
              </w:rPr>
            </w:pPr>
            <w:r w:rsidRPr="00D40709">
              <w:rPr>
                <w:rFonts w:ascii="Times New Roman" w:eastAsia="Times New Roman" w:hAnsi="Times New Roman" w:cs="Times New Roman"/>
                <w:color w:val="444444"/>
                <w:sz w:val="27"/>
                <w:szCs w:val="27"/>
                <w:highlight w:val="yellow"/>
                <w:lang w:eastAsia="lt-LT"/>
              </w:rPr>
              <w:t>Informavimas ir viešinimas įgyvendinami dviem lygiais. Atsakinga institucija yra atsakinga</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už informavimo ir viešinimo priemones programos lygmeniu: tvirtina metinius komunikacijų</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planus, teikia informaciją apie PMIF NP įgyvendinimą institucijoms, Stebėsenos komitetui,</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pareiškėjams, projekto vykdytojams, visuomenei ir kt. Įgaliotoji institucija ir projekto</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vykdytojai yra atsakingi už informavimo ir viešinimo priemones projekto lygmeniu. Įgaliotoji</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institucija organizuoja ir įgyvendina veiklas, susijusias su pareiškėjų, projektų vykdytojų,</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visuomenės informavimu ir viešinimu. Projektų vykdytoja</w:t>
            </w:r>
            <w:r>
              <w:rPr>
                <w:rFonts w:ascii="Times New Roman" w:eastAsia="Times New Roman" w:hAnsi="Times New Roman" w:cs="Times New Roman"/>
                <w:color w:val="444444"/>
                <w:sz w:val="27"/>
                <w:szCs w:val="27"/>
                <w:highlight w:val="yellow"/>
                <w:lang w:eastAsia="lt-LT"/>
              </w:rPr>
              <w:t xml:space="preserve">i taip pat vykdo informavimo ir </w:t>
            </w:r>
            <w:r w:rsidRPr="00D40709">
              <w:rPr>
                <w:rFonts w:ascii="Times New Roman" w:eastAsia="Times New Roman" w:hAnsi="Times New Roman" w:cs="Times New Roman"/>
                <w:color w:val="444444"/>
                <w:sz w:val="27"/>
                <w:szCs w:val="27"/>
                <w:highlight w:val="yellow"/>
                <w:lang w:eastAsia="lt-LT"/>
              </w:rPr>
              <w:t>viešinimo veiklas naudodami plakatus, kitą informacinę medžiagą, publikacijas, straipsnius</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spaudai ir kt. Visos informavimo ir viešinimo priemonės turi būti pažymėtos ES emblema ir</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su nuoroda į ES finansavimą bei kitus privalomus ženklus.</w:t>
            </w:r>
            <w:r>
              <w:rPr>
                <w:rFonts w:ascii="Times New Roman" w:eastAsia="Times New Roman" w:hAnsi="Times New Roman" w:cs="Times New Roman"/>
                <w:color w:val="444444"/>
                <w:sz w:val="27"/>
                <w:szCs w:val="27"/>
                <w:highlight w:val="yellow"/>
                <w:lang w:eastAsia="lt-LT"/>
              </w:rPr>
              <w:t xml:space="preserve"> </w:t>
            </w:r>
            <w:r w:rsidRPr="00D40709">
              <w:rPr>
                <w:rFonts w:ascii="Times New Roman" w:eastAsia="Times New Roman" w:hAnsi="Times New Roman" w:cs="Times New Roman"/>
                <w:color w:val="444444"/>
                <w:sz w:val="27"/>
                <w:szCs w:val="27"/>
                <w:highlight w:val="yellow"/>
                <w:lang w:eastAsia="lt-LT"/>
              </w:rPr>
              <w:t>Šios veiklos bus papildomos projektų veiklomis, orientuotomis į visuomenės nuostatų keitimą trečiųjų šalių piliečių (ypač prieglobsčio prašytojų ir gavėjų) atžvilgiu, darbdavių, švietimo ir sveikatos apsaugos sektoriaus specialistų, žurnalistų, teisininkų tarpkultūrinių kompetencijų ugdymu. Tai prisidės ir prie ES vykdomos migracijos politikos ir konkrečiai – PMIF vykdomų iniciatyvų žinomumo Lietuvoje.</w:t>
            </w:r>
          </w:p>
        </w:tc>
      </w:tr>
    </w:tbl>
    <w:p w:rsidR="0088411E" w:rsidRPr="0088411E" w:rsidRDefault="0088411E" w:rsidP="0088411E">
      <w:pPr>
        <w:shd w:val="clear" w:color="auto" w:fill="FFFFFF"/>
        <w:spacing w:after="0" w:line="240" w:lineRule="auto"/>
        <w:jc w:val="both"/>
        <w:rPr>
          <w:rFonts w:ascii="Times New Roman" w:eastAsia="Times New Roman" w:hAnsi="Times New Roman" w:cs="Times New Roman"/>
          <w:color w:val="444444"/>
          <w:sz w:val="27"/>
          <w:szCs w:val="27"/>
          <w:lang w:eastAsia="lt-LT"/>
        </w:rPr>
      </w:pPr>
    </w:p>
    <w:p w:rsidR="0088411E" w:rsidRPr="0088411E" w:rsidRDefault="0088411E" w:rsidP="0088411E">
      <w:pPr>
        <w:shd w:val="clear" w:color="auto" w:fill="FFFFFF"/>
        <w:spacing w:after="0" w:line="240" w:lineRule="auto"/>
        <w:ind w:left="468"/>
        <w:jc w:val="both"/>
        <w:rPr>
          <w:rFonts w:ascii="Times New Roman" w:eastAsia="Times New Roman" w:hAnsi="Times New Roman" w:cs="Times New Roman"/>
          <w:b/>
          <w:color w:val="444444"/>
          <w:sz w:val="27"/>
          <w:szCs w:val="27"/>
          <w:lang w:eastAsia="lt-LT"/>
        </w:rPr>
      </w:pPr>
      <w:r w:rsidRPr="00D40709">
        <w:rPr>
          <w:rFonts w:ascii="Times New Roman" w:eastAsia="Times New Roman" w:hAnsi="Times New Roman" w:cs="Times New Roman"/>
          <w:b/>
          <w:color w:val="444444"/>
          <w:sz w:val="27"/>
          <w:szCs w:val="27"/>
          <w:lang w:eastAsia="lt-LT"/>
        </w:rPr>
        <w:t>8.</w:t>
      </w:r>
      <w:r w:rsidRPr="0088411E">
        <w:rPr>
          <w:rFonts w:ascii="Times New Roman" w:eastAsia="Times New Roman" w:hAnsi="Times New Roman" w:cs="Times New Roman"/>
          <w:b/>
          <w:color w:val="444444"/>
          <w:sz w:val="27"/>
          <w:szCs w:val="27"/>
          <w:lang w:eastAsia="lt-LT"/>
        </w:rPr>
        <w:t>Use of unit costs, lump sums, flat rates and financing not linked to costs</w:t>
      </w:r>
    </w:p>
    <w:p w:rsidR="0088411E" w:rsidRPr="0088411E" w:rsidRDefault="0088411E" w:rsidP="0088411E">
      <w:pPr>
        <w:shd w:val="clear" w:color="auto" w:fill="FFFFFF"/>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Reference: Articles 88 and 89 CPR</w:t>
      </w:r>
    </w:p>
    <w:tbl>
      <w:tblPr>
        <w:tblW w:w="9747" w:type="dxa"/>
        <w:shd w:val="clear" w:color="auto" w:fill="FFFFFF"/>
        <w:tblCellMar>
          <w:left w:w="0" w:type="dxa"/>
          <w:right w:w="0" w:type="dxa"/>
        </w:tblCellMar>
        <w:tblLook w:val="04A0" w:firstRow="1" w:lastRow="0" w:firstColumn="1" w:lastColumn="0" w:noHBand="0" w:noVBand="1"/>
      </w:tblPr>
      <w:tblGrid>
        <w:gridCol w:w="4928"/>
        <w:gridCol w:w="4819"/>
      </w:tblGrid>
      <w:tr w:rsidR="0088411E" w:rsidRPr="0088411E" w:rsidTr="00D40709">
        <w:tc>
          <w:tcPr>
            <w:tcW w:w="49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88411E" w:rsidP="00D40709">
            <w:pPr>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Indication of use of Article 88 and 89*:</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88411E" w:rsidP="00D40709">
            <w:pPr>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Specific objective</w:t>
            </w:r>
          </w:p>
        </w:tc>
      </w:tr>
      <w:tr w:rsidR="0088411E" w:rsidRPr="0088411E" w:rsidTr="00D40709">
        <w:tc>
          <w:tcPr>
            <w:tcW w:w="49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Use of reimbursement of eligible expenditure based on unit costs, lump sums and flat rates under priority according to Article 88 CPR</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color w:val="444444"/>
                <w:sz w:val="27"/>
                <w:szCs w:val="27"/>
                <w:lang w:eastAsia="lt-LT"/>
              </w:rPr>
            </w:pPr>
          </w:p>
        </w:tc>
      </w:tr>
      <w:tr w:rsidR="0088411E" w:rsidRPr="0088411E" w:rsidTr="00D40709">
        <w:tc>
          <w:tcPr>
            <w:tcW w:w="49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88411E" w:rsidP="0088411E">
            <w:pPr>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Use of financing not linked to costs according to Article 89 CPR</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88411E" w:rsidRDefault="0088411E" w:rsidP="0088411E">
            <w:pPr>
              <w:spacing w:after="0" w:line="240" w:lineRule="auto"/>
              <w:rPr>
                <w:rFonts w:ascii="Times New Roman" w:eastAsia="Times New Roman" w:hAnsi="Times New Roman" w:cs="Times New Roman"/>
                <w:color w:val="444444"/>
                <w:sz w:val="27"/>
                <w:szCs w:val="27"/>
                <w:lang w:eastAsia="lt-LT"/>
              </w:rPr>
            </w:pPr>
          </w:p>
        </w:tc>
      </w:tr>
    </w:tbl>
    <w:p w:rsidR="0088411E" w:rsidRPr="0088411E" w:rsidRDefault="0088411E" w:rsidP="0088411E">
      <w:pPr>
        <w:shd w:val="clear" w:color="auto" w:fill="FFFFFF"/>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 Full information will be provided acorrding to the models in appendices.</w:t>
      </w:r>
    </w:p>
    <w:p w:rsidR="00D40709" w:rsidRDefault="00D40709" w:rsidP="0088411E">
      <w:pPr>
        <w:shd w:val="clear" w:color="auto" w:fill="FFFFFF"/>
        <w:spacing w:after="0" w:line="240" w:lineRule="auto"/>
        <w:jc w:val="both"/>
        <w:rPr>
          <w:rFonts w:ascii="Times New Roman" w:eastAsia="Times New Roman" w:hAnsi="Times New Roman" w:cs="Times New Roman"/>
          <w:color w:val="444444"/>
          <w:sz w:val="27"/>
          <w:szCs w:val="27"/>
          <w:lang w:eastAsia="lt-LT"/>
        </w:rPr>
      </w:pPr>
    </w:p>
    <w:p w:rsidR="0088411E" w:rsidRPr="0088411E" w:rsidRDefault="0088411E" w:rsidP="0088411E">
      <w:pPr>
        <w:shd w:val="clear" w:color="auto" w:fill="FFFFFF"/>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APPENDICES</w:t>
      </w:r>
    </w:p>
    <w:p w:rsidR="0088411E" w:rsidRPr="0088411E" w:rsidRDefault="0088411E" w:rsidP="00D40709">
      <w:pPr>
        <w:shd w:val="clear" w:color="auto" w:fill="FFFFFF"/>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lastRenderedPageBreak/>
        <w:t>Reimbursement of eligible expenditure based on unit costs, lump sums and flat rates (Article 88 CPR)</w:t>
      </w:r>
    </w:p>
    <w:p w:rsidR="0088411E" w:rsidRPr="0088411E" w:rsidRDefault="0088411E" w:rsidP="00D40709">
      <w:pPr>
        <w:shd w:val="clear" w:color="auto" w:fill="FFFFFF"/>
        <w:spacing w:after="0" w:line="240" w:lineRule="auto"/>
        <w:jc w:val="both"/>
        <w:rPr>
          <w:rFonts w:ascii="Times New Roman" w:eastAsia="Times New Roman" w:hAnsi="Times New Roman" w:cs="Times New Roman"/>
          <w:color w:val="444444"/>
          <w:sz w:val="27"/>
          <w:szCs w:val="27"/>
          <w:lang w:eastAsia="lt-LT"/>
        </w:rPr>
      </w:pPr>
      <w:r w:rsidRPr="0088411E">
        <w:rPr>
          <w:rFonts w:ascii="Times New Roman" w:eastAsia="Times New Roman" w:hAnsi="Times New Roman" w:cs="Times New Roman"/>
          <w:color w:val="444444"/>
          <w:sz w:val="27"/>
          <w:szCs w:val="27"/>
          <w:lang w:eastAsia="lt-LT"/>
        </w:rPr>
        <w:t>Financing not linked to costs (Article 89 CPR)</w:t>
      </w:r>
    </w:p>
    <w:p w:rsidR="00711DA0" w:rsidRDefault="00711DA0"/>
    <w:sectPr w:rsidR="00711DA0" w:rsidSect="0088411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11E"/>
    <w:rsid w:val="003B34F3"/>
    <w:rsid w:val="00711DA0"/>
    <w:rsid w:val="007C3BD1"/>
    <w:rsid w:val="007F59AD"/>
    <w:rsid w:val="0088411E"/>
    <w:rsid w:val="00974397"/>
    <w:rsid w:val="00AC3BEB"/>
    <w:rsid w:val="00C67CBD"/>
    <w:rsid w:val="00D407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
    <w:name w:val="normal"/>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reference">
    <w:name w:val="footnotereference"/>
    <w:basedOn w:val="Numatytasispastraiposriftas"/>
    <w:rsid w:val="0088411E"/>
  </w:style>
  <w:style w:type="character" w:styleId="Hipersaitas">
    <w:name w:val="Hyperlink"/>
    <w:basedOn w:val="Numatytasispastraiposriftas"/>
    <w:uiPriority w:val="99"/>
    <w:semiHidden/>
    <w:unhideWhenUsed/>
    <w:rsid w:val="0088411E"/>
    <w:rPr>
      <w:color w:val="0000FF"/>
      <w:u w:val="single"/>
    </w:rPr>
  </w:style>
  <w:style w:type="paragraph" w:customStyle="1" w:styleId="li">
    <w:name w:val="li"/>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um">
    <w:name w:val="num"/>
    <w:basedOn w:val="Numatytasispastraiposriftas"/>
    <w:rsid w:val="0088411E"/>
  </w:style>
  <w:style w:type="paragraph" w:customStyle="1" w:styleId="text1">
    <w:name w:val="text1"/>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3B34F3"/>
    <w:rPr>
      <w:sz w:val="16"/>
      <w:szCs w:val="16"/>
    </w:rPr>
  </w:style>
  <w:style w:type="paragraph" w:styleId="Komentarotekstas">
    <w:name w:val="annotation text"/>
    <w:basedOn w:val="prastasis"/>
    <w:link w:val="KomentarotekstasDiagrama"/>
    <w:uiPriority w:val="99"/>
    <w:semiHidden/>
    <w:unhideWhenUsed/>
    <w:rsid w:val="003B34F3"/>
    <w:pPr>
      <w:spacing w:before="120" w:after="120" w:line="240" w:lineRule="auto"/>
      <w:jc w:val="both"/>
    </w:pPr>
    <w:rPr>
      <w:rFonts w:ascii="Times New Roman" w:eastAsia="Calibri" w:hAnsi="Times New Roman" w:cs="Times New Roman"/>
      <w:sz w:val="20"/>
      <w:szCs w:val="20"/>
      <w:lang w:eastAsia="lt-LT" w:bidi="lt-LT"/>
    </w:rPr>
  </w:style>
  <w:style w:type="character" w:customStyle="1" w:styleId="KomentarotekstasDiagrama">
    <w:name w:val="Komentaro tekstas Diagrama"/>
    <w:basedOn w:val="Numatytasispastraiposriftas"/>
    <w:link w:val="Komentarotekstas"/>
    <w:uiPriority w:val="99"/>
    <w:semiHidden/>
    <w:rsid w:val="003B34F3"/>
    <w:rPr>
      <w:rFonts w:ascii="Times New Roman" w:eastAsia="Calibri" w:hAnsi="Times New Roman" w:cs="Times New Roman"/>
      <w:sz w:val="20"/>
      <w:szCs w:val="20"/>
      <w:lang w:eastAsia="lt-LT" w:bidi="lt-LT"/>
    </w:rPr>
  </w:style>
  <w:style w:type="paragraph" w:styleId="Debesliotekstas">
    <w:name w:val="Balloon Text"/>
    <w:basedOn w:val="prastasis"/>
    <w:link w:val="DebesliotekstasDiagrama"/>
    <w:uiPriority w:val="99"/>
    <w:semiHidden/>
    <w:unhideWhenUsed/>
    <w:rsid w:val="003B34F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B34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
    <w:name w:val="normal"/>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reference">
    <w:name w:val="footnotereference"/>
    <w:basedOn w:val="Numatytasispastraiposriftas"/>
    <w:rsid w:val="0088411E"/>
  </w:style>
  <w:style w:type="character" w:styleId="Hipersaitas">
    <w:name w:val="Hyperlink"/>
    <w:basedOn w:val="Numatytasispastraiposriftas"/>
    <w:uiPriority w:val="99"/>
    <w:semiHidden/>
    <w:unhideWhenUsed/>
    <w:rsid w:val="0088411E"/>
    <w:rPr>
      <w:color w:val="0000FF"/>
      <w:u w:val="single"/>
    </w:rPr>
  </w:style>
  <w:style w:type="paragraph" w:customStyle="1" w:styleId="li">
    <w:name w:val="li"/>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um">
    <w:name w:val="num"/>
    <w:basedOn w:val="Numatytasispastraiposriftas"/>
    <w:rsid w:val="0088411E"/>
  </w:style>
  <w:style w:type="paragraph" w:customStyle="1" w:styleId="text1">
    <w:name w:val="text1"/>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3B34F3"/>
    <w:rPr>
      <w:sz w:val="16"/>
      <w:szCs w:val="16"/>
    </w:rPr>
  </w:style>
  <w:style w:type="paragraph" w:styleId="Komentarotekstas">
    <w:name w:val="annotation text"/>
    <w:basedOn w:val="prastasis"/>
    <w:link w:val="KomentarotekstasDiagrama"/>
    <w:uiPriority w:val="99"/>
    <w:semiHidden/>
    <w:unhideWhenUsed/>
    <w:rsid w:val="003B34F3"/>
    <w:pPr>
      <w:spacing w:before="120" w:after="120" w:line="240" w:lineRule="auto"/>
      <w:jc w:val="both"/>
    </w:pPr>
    <w:rPr>
      <w:rFonts w:ascii="Times New Roman" w:eastAsia="Calibri" w:hAnsi="Times New Roman" w:cs="Times New Roman"/>
      <w:sz w:val="20"/>
      <w:szCs w:val="20"/>
      <w:lang w:eastAsia="lt-LT" w:bidi="lt-LT"/>
    </w:rPr>
  </w:style>
  <w:style w:type="character" w:customStyle="1" w:styleId="KomentarotekstasDiagrama">
    <w:name w:val="Komentaro tekstas Diagrama"/>
    <w:basedOn w:val="Numatytasispastraiposriftas"/>
    <w:link w:val="Komentarotekstas"/>
    <w:uiPriority w:val="99"/>
    <w:semiHidden/>
    <w:rsid w:val="003B34F3"/>
    <w:rPr>
      <w:rFonts w:ascii="Times New Roman" w:eastAsia="Calibri" w:hAnsi="Times New Roman" w:cs="Times New Roman"/>
      <w:sz w:val="20"/>
      <w:szCs w:val="20"/>
      <w:lang w:eastAsia="lt-LT" w:bidi="lt-LT"/>
    </w:rPr>
  </w:style>
  <w:style w:type="paragraph" w:styleId="Debesliotekstas">
    <w:name w:val="Balloon Text"/>
    <w:basedOn w:val="prastasis"/>
    <w:link w:val="DebesliotekstasDiagrama"/>
    <w:uiPriority w:val="99"/>
    <w:semiHidden/>
    <w:unhideWhenUsed/>
    <w:rsid w:val="003B34F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B34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158602">
      <w:bodyDiv w:val="1"/>
      <w:marLeft w:val="0"/>
      <w:marRight w:val="0"/>
      <w:marTop w:val="0"/>
      <w:marBottom w:val="0"/>
      <w:divBdr>
        <w:top w:val="none" w:sz="0" w:space="0" w:color="auto"/>
        <w:left w:val="none" w:sz="0" w:space="0" w:color="auto"/>
        <w:bottom w:val="none" w:sz="0" w:space="0" w:color="auto"/>
        <w:right w:val="none" w:sz="0" w:space="0" w:color="auto"/>
      </w:divBdr>
      <w:divsChild>
        <w:div w:id="1622689165">
          <w:marLeft w:val="0"/>
          <w:marRight w:val="0"/>
          <w:marTop w:val="0"/>
          <w:marBottom w:val="0"/>
          <w:divBdr>
            <w:top w:val="none" w:sz="0" w:space="0" w:color="auto"/>
            <w:left w:val="none" w:sz="0" w:space="0" w:color="auto"/>
            <w:bottom w:val="none" w:sz="0" w:space="0" w:color="auto"/>
            <w:right w:val="none" w:sz="0" w:space="0" w:color="auto"/>
          </w:divBdr>
        </w:div>
        <w:div w:id="136265634">
          <w:marLeft w:val="0"/>
          <w:marRight w:val="0"/>
          <w:marTop w:val="0"/>
          <w:marBottom w:val="0"/>
          <w:divBdr>
            <w:top w:val="none" w:sz="0" w:space="0" w:color="auto"/>
            <w:left w:val="none" w:sz="0" w:space="0" w:color="auto"/>
            <w:bottom w:val="none" w:sz="0" w:space="0" w:color="auto"/>
            <w:right w:val="none" w:sz="0" w:space="0" w:color="auto"/>
          </w:divBdr>
        </w:div>
        <w:div w:id="1383406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lex.europa.eu/legal-content/EN/TXT/?uri=COM%3A2018%3A375%3AF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13</Pages>
  <Words>25394</Words>
  <Characters>14475</Characters>
  <Application>Microsoft Office Word</Application>
  <DocSecurity>0</DocSecurity>
  <Lines>120</Lines>
  <Paragraphs>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Perevičiūtė</dc:creator>
  <cp:lastModifiedBy>Laura Perevičiūtė</cp:lastModifiedBy>
  <cp:revision>1</cp:revision>
  <dcterms:created xsi:type="dcterms:W3CDTF">2020-05-18T12:12:00Z</dcterms:created>
  <dcterms:modified xsi:type="dcterms:W3CDTF">2020-05-18T12:52:00Z</dcterms:modified>
</cp:coreProperties>
</file>